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723" w:firstLineChars="200"/>
        <w:jc w:val="center"/>
        <w:rPr>
          <w:rFonts w:ascii="宋体" w:hAnsi="宋体"/>
          <w:b/>
          <w:color w:val="000000"/>
          <w:sz w:val="36"/>
          <w:szCs w:val="36"/>
        </w:rPr>
      </w:pPr>
      <w:r>
        <w:rPr>
          <w:rFonts w:hint="eastAsia" w:ascii="宋体" w:hAnsi="宋体"/>
          <w:b/>
          <w:color w:val="000000"/>
          <w:sz w:val="36"/>
          <w:szCs w:val="36"/>
        </w:rPr>
        <w:t>青岛</w:t>
      </w:r>
      <w:r>
        <w:rPr>
          <w:rFonts w:hint="eastAsia" w:ascii="宋体" w:hAnsi="宋体"/>
          <w:b/>
          <w:color w:val="000000"/>
          <w:sz w:val="36"/>
          <w:szCs w:val="36"/>
          <w:lang w:eastAsia="zh-CN"/>
        </w:rPr>
        <w:t>海花植物油</w:t>
      </w:r>
      <w:r>
        <w:rPr>
          <w:rFonts w:hint="eastAsia" w:ascii="宋体" w:hAnsi="宋体"/>
          <w:b/>
          <w:color w:val="000000"/>
          <w:sz w:val="36"/>
          <w:szCs w:val="36"/>
        </w:rPr>
        <w:t>有限公司</w:t>
      </w:r>
    </w:p>
    <w:p>
      <w:pPr>
        <w:spacing w:line="560" w:lineRule="exact"/>
        <w:ind w:firstLine="723" w:firstLineChars="200"/>
        <w:jc w:val="center"/>
        <w:rPr>
          <w:rFonts w:ascii="宋体" w:hAnsi="宋体"/>
          <w:b/>
          <w:color w:val="000000"/>
          <w:sz w:val="36"/>
          <w:szCs w:val="36"/>
        </w:rPr>
      </w:pPr>
      <w:r>
        <w:rPr>
          <w:rFonts w:hint="eastAsia" w:ascii="宋体" w:hAnsi="宋体"/>
          <w:b/>
          <w:color w:val="000000"/>
          <w:sz w:val="36"/>
          <w:szCs w:val="36"/>
          <w:lang w:eastAsia="zh-CN"/>
        </w:rPr>
        <w:t>压榨花生油生产项目（一期）</w:t>
      </w:r>
    </w:p>
    <w:p>
      <w:pPr>
        <w:spacing w:line="560" w:lineRule="exact"/>
        <w:ind w:firstLine="723" w:firstLineChars="200"/>
        <w:jc w:val="center"/>
        <w:rPr>
          <w:rFonts w:ascii="宋体" w:hAnsi="宋体"/>
          <w:b/>
          <w:color w:val="000000"/>
          <w:sz w:val="36"/>
          <w:szCs w:val="36"/>
        </w:rPr>
      </w:pPr>
      <w:r>
        <w:rPr>
          <w:rFonts w:hint="eastAsia" w:ascii="宋体" w:hAnsi="宋体"/>
          <w:b/>
          <w:color w:val="000000"/>
          <w:sz w:val="36"/>
          <w:szCs w:val="36"/>
        </w:rPr>
        <w:t>竣工环境保护验收意见</w:t>
      </w:r>
    </w:p>
    <w:p>
      <w:pPr>
        <w:pStyle w:val="48"/>
        <w:spacing w:before="0" w:beforeAutospacing="0" w:after="0" w:afterAutospacing="0" w:line="560" w:lineRule="exact"/>
        <w:ind w:firstLine="602" w:firstLineChars="200"/>
        <w:jc w:val="center"/>
        <w:rPr>
          <w:rFonts w:ascii="Times New Roman" w:hAnsi="Times New Roman" w:cs="Times New Roman"/>
          <w:b/>
          <w:color w:val="000000"/>
          <w:sz w:val="30"/>
          <w:szCs w:val="30"/>
        </w:rPr>
      </w:pPr>
    </w:p>
    <w:p>
      <w:pPr>
        <w:spacing w:line="560" w:lineRule="exact"/>
        <w:ind w:firstLine="640" w:firstLineChars="200"/>
        <w:rPr>
          <w:rFonts w:eastAsia="仿宋"/>
          <w:sz w:val="32"/>
          <w:szCs w:val="40"/>
        </w:rPr>
      </w:pPr>
      <w:r>
        <w:rPr>
          <w:rFonts w:eastAsia="仿宋"/>
          <w:sz w:val="32"/>
          <w:szCs w:val="40"/>
        </w:rPr>
        <w:t>20</w:t>
      </w:r>
      <w:r>
        <w:rPr>
          <w:rFonts w:hint="eastAsia" w:eastAsia="仿宋"/>
          <w:sz w:val="32"/>
          <w:szCs w:val="40"/>
        </w:rPr>
        <w:t>20</w:t>
      </w:r>
      <w:r>
        <w:rPr>
          <w:rFonts w:eastAsia="仿宋"/>
          <w:sz w:val="32"/>
          <w:szCs w:val="40"/>
        </w:rPr>
        <w:t>年</w:t>
      </w:r>
      <w:r>
        <w:rPr>
          <w:rFonts w:hint="eastAsia" w:eastAsia="仿宋"/>
          <w:sz w:val="32"/>
          <w:szCs w:val="40"/>
          <w:lang w:val="en-US" w:eastAsia="zh-CN"/>
        </w:rPr>
        <w:t>8</w:t>
      </w:r>
      <w:r>
        <w:rPr>
          <w:rFonts w:eastAsia="仿宋"/>
          <w:sz w:val="32"/>
          <w:szCs w:val="40"/>
        </w:rPr>
        <w:t>月</w:t>
      </w:r>
      <w:r>
        <w:rPr>
          <w:rFonts w:hint="eastAsia" w:eastAsia="仿宋"/>
          <w:sz w:val="32"/>
          <w:szCs w:val="40"/>
          <w:lang w:val="en-US" w:eastAsia="zh-CN"/>
        </w:rPr>
        <w:t>26</w:t>
      </w:r>
      <w:r>
        <w:rPr>
          <w:rFonts w:eastAsia="仿宋"/>
          <w:sz w:val="32"/>
          <w:szCs w:val="40"/>
        </w:rPr>
        <w:t>日，青岛</w:t>
      </w:r>
      <w:r>
        <w:rPr>
          <w:rFonts w:hint="eastAsia" w:eastAsia="仿宋"/>
          <w:sz w:val="32"/>
          <w:szCs w:val="40"/>
          <w:lang w:eastAsia="zh-CN"/>
        </w:rPr>
        <w:t>海花植物油</w:t>
      </w:r>
      <w:r>
        <w:rPr>
          <w:rFonts w:eastAsia="仿宋"/>
          <w:sz w:val="32"/>
          <w:szCs w:val="40"/>
        </w:rPr>
        <w:t>有限公司根据</w:t>
      </w:r>
      <w:r>
        <w:rPr>
          <w:rFonts w:hint="eastAsia" w:eastAsia="仿宋"/>
          <w:sz w:val="32"/>
          <w:szCs w:val="40"/>
        </w:rPr>
        <w:t>“</w:t>
      </w:r>
      <w:r>
        <w:rPr>
          <w:rFonts w:hint="eastAsia" w:eastAsia="仿宋"/>
          <w:sz w:val="32"/>
          <w:szCs w:val="40"/>
          <w:lang w:eastAsia="zh-CN"/>
        </w:rPr>
        <w:t>压榨花生油生产项目（一期）</w:t>
      </w:r>
      <w:r>
        <w:rPr>
          <w:rFonts w:hint="eastAsia" w:eastAsia="仿宋"/>
          <w:sz w:val="32"/>
          <w:szCs w:val="40"/>
        </w:rPr>
        <w:t>”</w:t>
      </w:r>
      <w:r>
        <w:rPr>
          <w:rFonts w:eastAsia="仿宋"/>
          <w:sz w:val="32"/>
          <w:szCs w:val="40"/>
        </w:rPr>
        <w:t xml:space="preserve">竣工环境保护验收监测报告，并对照《建设项目竣工环境保护验收暂行办法》，严格依照国家有关法律法规、建设项目竣工环境保护验收技术规范/指南、本项目环境影响报告表和审批部门审批决定等要求，对本项目进行验收，提出意见如下： </w:t>
      </w:r>
    </w:p>
    <w:p>
      <w:pPr>
        <w:pStyle w:val="48"/>
        <w:spacing w:before="0" w:beforeAutospacing="0" w:after="0" w:afterAutospacing="0" w:line="560" w:lineRule="exact"/>
        <w:ind w:firstLine="643" w:firstLineChars="200"/>
        <w:jc w:val="both"/>
        <w:rPr>
          <w:rFonts w:ascii="Times New Roman" w:hAnsi="Times New Roman" w:eastAsia="黑体" w:cs="Times New Roman"/>
          <w:b/>
          <w:color w:val="000000"/>
          <w:sz w:val="32"/>
          <w:szCs w:val="32"/>
        </w:rPr>
      </w:pPr>
      <w:r>
        <w:rPr>
          <w:rFonts w:ascii="Times New Roman" w:hAnsi="Times New Roman" w:eastAsia="黑体" w:cs="Times New Roman"/>
          <w:b/>
          <w:color w:val="000000"/>
          <w:sz w:val="32"/>
          <w:szCs w:val="32"/>
        </w:rPr>
        <w:t>一、工程建设基本情况</w:t>
      </w:r>
    </w:p>
    <w:p>
      <w:pPr>
        <w:pStyle w:val="48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仿宋" w:cs="Times New Roman"/>
          <w:kern w:val="2"/>
          <w:sz w:val="32"/>
          <w:szCs w:val="40"/>
        </w:rPr>
      </w:pPr>
      <w:r>
        <w:rPr>
          <w:rFonts w:ascii="Times New Roman" w:hAnsi="Times New Roman" w:eastAsia="仿宋" w:cs="Times New Roman"/>
          <w:kern w:val="2"/>
          <w:sz w:val="32"/>
          <w:szCs w:val="40"/>
        </w:rPr>
        <w:t>（一）建设地点、规模、主要建设内容</w:t>
      </w:r>
    </w:p>
    <w:p>
      <w:pPr>
        <w:adjustRightInd w:val="0"/>
        <w:snapToGrid w:val="0"/>
        <w:spacing w:line="500" w:lineRule="exact"/>
        <w:ind w:firstLine="640" w:firstLineChars="200"/>
        <w:rPr>
          <w:rFonts w:hint="eastAsia" w:eastAsia="仿宋"/>
          <w:sz w:val="32"/>
          <w:szCs w:val="40"/>
          <w:lang w:eastAsia="zh-CN"/>
        </w:rPr>
      </w:pPr>
      <w:r>
        <w:rPr>
          <w:rFonts w:hint="eastAsia" w:eastAsia="仿宋"/>
          <w:sz w:val="32"/>
          <w:szCs w:val="40"/>
          <w:lang w:val="en-US" w:eastAsia="zh-CN"/>
        </w:rPr>
        <w:t xml:space="preserve">青岛海花植物油有限公司位于胶州市胶西镇西门村北，总占面积2000m2，主要进行花生油、大豆油、玉米油的分装调和。《青岛海花植物油有限公司植物油加工项目环境影响登记表》于 </w:t>
      </w:r>
      <w:r>
        <w:rPr>
          <w:rFonts w:hint="default" w:eastAsia="仿宋"/>
          <w:sz w:val="32"/>
          <w:szCs w:val="40"/>
          <w:lang w:val="en-US" w:eastAsia="zh-CN"/>
        </w:rPr>
        <w:t xml:space="preserve">2018 </w:t>
      </w:r>
      <w:r>
        <w:rPr>
          <w:rFonts w:hint="eastAsia" w:eastAsia="仿宋"/>
          <w:sz w:val="32"/>
          <w:szCs w:val="40"/>
          <w:lang w:val="en-US" w:eastAsia="zh-CN"/>
        </w:rPr>
        <w:t xml:space="preserve">年 </w:t>
      </w:r>
      <w:r>
        <w:rPr>
          <w:rFonts w:hint="default" w:eastAsia="仿宋"/>
          <w:sz w:val="32"/>
          <w:szCs w:val="40"/>
          <w:lang w:val="en-US" w:eastAsia="zh-CN"/>
        </w:rPr>
        <w:t>4</w:t>
      </w:r>
      <w:r>
        <w:rPr>
          <w:rFonts w:hint="eastAsia" w:eastAsia="仿宋"/>
          <w:sz w:val="32"/>
          <w:szCs w:val="40"/>
          <w:lang w:val="en-US" w:eastAsia="zh-CN"/>
        </w:rPr>
        <w:t>月</w:t>
      </w:r>
      <w:r>
        <w:rPr>
          <w:rFonts w:hint="default" w:eastAsia="仿宋"/>
          <w:sz w:val="32"/>
          <w:szCs w:val="40"/>
          <w:lang w:val="en-US" w:eastAsia="zh-CN"/>
        </w:rPr>
        <w:t>23</w:t>
      </w:r>
      <w:r>
        <w:rPr>
          <w:rFonts w:hint="eastAsia" w:eastAsia="仿宋"/>
          <w:sz w:val="32"/>
          <w:szCs w:val="40"/>
          <w:lang w:val="en-US" w:eastAsia="zh-CN"/>
        </w:rPr>
        <w:t>日取得备案（备案号：</w:t>
      </w:r>
      <w:r>
        <w:rPr>
          <w:rFonts w:hint="default" w:eastAsia="仿宋"/>
          <w:sz w:val="32"/>
          <w:szCs w:val="40"/>
          <w:lang w:val="en-US" w:eastAsia="zh-CN"/>
        </w:rPr>
        <w:t>201837028100000892</w:t>
      </w:r>
      <w:r>
        <w:rPr>
          <w:rFonts w:hint="eastAsia" w:eastAsia="仿宋"/>
          <w:sz w:val="32"/>
          <w:szCs w:val="40"/>
          <w:lang w:val="en-US" w:eastAsia="zh-CN"/>
        </w:rPr>
        <w:t>）。</w:t>
      </w:r>
    </w:p>
    <w:p>
      <w:pPr>
        <w:adjustRightInd w:val="0"/>
        <w:snapToGrid w:val="0"/>
        <w:spacing w:line="5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"/>
          <w:sz w:val="32"/>
          <w:szCs w:val="40"/>
          <w:lang w:eastAsia="zh-CN"/>
        </w:rPr>
        <w:t>压榨花生油生产项目位于青岛海花植物油有限公司厂区北侧车间内</w:t>
      </w:r>
      <w:r>
        <w:rPr>
          <w:rFonts w:hint="eastAsia" w:eastAsia="仿宋"/>
          <w:sz w:val="32"/>
          <w:szCs w:val="40"/>
        </w:rPr>
        <w:t>，总占地面积</w:t>
      </w:r>
      <w:r>
        <w:rPr>
          <w:rFonts w:hint="eastAsia" w:eastAsia="仿宋"/>
          <w:sz w:val="32"/>
          <w:szCs w:val="40"/>
          <w:lang w:val="en-US" w:eastAsia="zh-CN"/>
        </w:rPr>
        <w:t>3</w:t>
      </w:r>
      <w:r>
        <w:rPr>
          <w:rFonts w:hint="eastAsia" w:eastAsia="仿宋"/>
          <w:sz w:val="32"/>
          <w:szCs w:val="40"/>
        </w:rPr>
        <w:t>00m</w:t>
      </w:r>
      <w:r>
        <w:rPr>
          <w:rFonts w:hint="eastAsia" w:eastAsia="仿宋"/>
          <w:sz w:val="32"/>
          <w:szCs w:val="40"/>
          <w:vertAlign w:val="superscript"/>
        </w:rPr>
        <w:t>2</w:t>
      </w:r>
      <w:r>
        <w:rPr>
          <w:rFonts w:hint="eastAsia" w:eastAsia="仿宋"/>
          <w:sz w:val="32"/>
          <w:szCs w:val="40"/>
        </w:rPr>
        <w:t>，建筑面积</w:t>
      </w:r>
      <w:r>
        <w:rPr>
          <w:rFonts w:hint="eastAsia" w:eastAsia="仿宋"/>
          <w:sz w:val="32"/>
          <w:szCs w:val="40"/>
          <w:lang w:val="en-US" w:eastAsia="zh-CN"/>
        </w:rPr>
        <w:t>3</w:t>
      </w:r>
      <w:r>
        <w:rPr>
          <w:rFonts w:hint="eastAsia" w:eastAsia="仿宋"/>
          <w:sz w:val="32"/>
          <w:szCs w:val="40"/>
        </w:rPr>
        <w:t>00m</w:t>
      </w:r>
      <w:r>
        <w:rPr>
          <w:rFonts w:hint="eastAsia" w:eastAsia="仿宋"/>
          <w:sz w:val="32"/>
          <w:szCs w:val="40"/>
          <w:vertAlign w:val="superscript"/>
        </w:rPr>
        <w:t>2</w:t>
      </w:r>
      <w:r>
        <w:rPr>
          <w:rFonts w:hint="eastAsia" w:eastAsia="仿宋"/>
          <w:sz w:val="32"/>
          <w:szCs w:val="40"/>
        </w:rPr>
        <w:t>，主要包括车间</w:t>
      </w:r>
      <w:r>
        <w:rPr>
          <w:rFonts w:hint="eastAsia" w:eastAsia="仿宋"/>
          <w:sz w:val="32"/>
          <w:szCs w:val="40"/>
          <w:lang w:val="en-US" w:eastAsia="zh-CN"/>
        </w:rPr>
        <w:t>1</w:t>
      </w:r>
      <w:r>
        <w:rPr>
          <w:rFonts w:hint="eastAsia" w:eastAsia="仿宋"/>
          <w:sz w:val="32"/>
          <w:szCs w:val="40"/>
        </w:rPr>
        <w:t>座（1F）</w:t>
      </w:r>
      <w:r>
        <w:rPr>
          <w:rFonts w:hint="eastAsia" w:eastAsia="仿宋"/>
          <w:sz w:val="32"/>
          <w:szCs w:val="40"/>
          <w:lang w:eastAsia="zh-CN"/>
        </w:rPr>
        <w:t>，</w:t>
      </w:r>
      <w:r>
        <w:rPr>
          <w:rFonts w:hint="eastAsia" w:eastAsia="仿宋"/>
          <w:sz w:val="32"/>
          <w:szCs w:val="40"/>
        </w:rPr>
        <w:t>项目从事压榨花生油生产，主要生产设备有轧胚机、蒸炒锅、压榨机、提升机、板框过滤机等，主要原辅材料为花生米31500吨/年，导热油1.5吨/年，年产花生油12000 吨</w:t>
      </w:r>
      <w:r>
        <w:rPr>
          <w:rFonts w:hint="eastAsia" w:eastAsia="仿宋"/>
          <w:sz w:val="32"/>
          <w:szCs w:val="40"/>
          <w:lang w:eastAsia="zh-CN"/>
        </w:rPr>
        <w:t xml:space="preserve">。 </w:t>
      </w:r>
      <w:r>
        <w:rPr>
          <w:rFonts w:hint="eastAsia" w:eastAsia="仿宋"/>
          <w:sz w:val="32"/>
          <w:szCs w:val="40"/>
        </w:rPr>
        <w:t xml:space="preserve"> </w:t>
      </w:r>
      <w:r>
        <w:rPr>
          <w:rFonts w:hint="eastAsia" w:eastAsia="仿宋_GB2312"/>
          <w:sz w:val="32"/>
          <w:szCs w:val="32"/>
        </w:rPr>
        <w:t xml:space="preserve">   </w:t>
      </w:r>
    </w:p>
    <w:p>
      <w:pPr>
        <w:spacing w:line="560" w:lineRule="exact"/>
        <w:ind w:firstLine="640" w:firstLineChars="200"/>
        <w:rPr>
          <w:rFonts w:eastAsia="仿宋"/>
          <w:sz w:val="32"/>
          <w:szCs w:val="40"/>
        </w:rPr>
      </w:pPr>
      <w:r>
        <w:rPr>
          <w:rFonts w:hint="eastAsia" w:eastAsia="仿宋"/>
          <w:sz w:val="32"/>
          <w:szCs w:val="40"/>
        </w:rPr>
        <w:t>（二）建设过程及环保审批情况</w:t>
      </w:r>
    </w:p>
    <w:p>
      <w:pPr>
        <w:autoSpaceDE w:val="0"/>
        <w:autoSpaceDN w:val="0"/>
        <w:adjustRightInd w:val="0"/>
        <w:spacing w:line="560" w:lineRule="exact"/>
        <w:ind w:firstLine="640" w:firstLineChars="200"/>
        <w:rPr>
          <w:rFonts w:eastAsia="仿宋"/>
          <w:sz w:val="32"/>
          <w:szCs w:val="40"/>
        </w:rPr>
      </w:pPr>
      <w:r>
        <w:rPr>
          <w:rFonts w:hint="eastAsia" w:eastAsia="仿宋"/>
          <w:sz w:val="32"/>
          <w:szCs w:val="40"/>
        </w:rPr>
        <w:t>2019年</w:t>
      </w:r>
      <w:r>
        <w:rPr>
          <w:rFonts w:hint="eastAsia" w:eastAsia="仿宋"/>
          <w:sz w:val="32"/>
          <w:szCs w:val="40"/>
          <w:lang w:val="en-US" w:eastAsia="zh-CN"/>
        </w:rPr>
        <w:t>7</w:t>
      </w:r>
      <w:r>
        <w:rPr>
          <w:rFonts w:hint="eastAsia" w:eastAsia="仿宋"/>
          <w:sz w:val="32"/>
          <w:szCs w:val="40"/>
        </w:rPr>
        <w:t>月，</w:t>
      </w:r>
      <w:r>
        <w:rPr>
          <w:rFonts w:hint="eastAsia" w:eastAsia="仿宋"/>
          <w:sz w:val="32"/>
          <w:szCs w:val="40"/>
          <w:lang w:eastAsia="zh-CN"/>
        </w:rPr>
        <w:t>湖北黄环环保科技有限公司</w:t>
      </w:r>
      <w:r>
        <w:rPr>
          <w:rFonts w:hint="eastAsia" w:eastAsia="仿宋"/>
          <w:sz w:val="32"/>
          <w:szCs w:val="40"/>
        </w:rPr>
        <w:t>编制了《青岛</w:t>
      </w:r>
      <w:r>
        <w:rPr>
          <w:rFonts w:hint="eastAsia" w:eastAsia="仿宋"/>
          <w:sz w:val="32"/>
          <w:szCs w:val="40"/>
          <w:lang w:eastAsia="zh-CN"/>
        </w:rPr>
        <w:t>海花植物油</w:t>
      </w:r>
      <w:r>
        <w:rPr>
          <w:rFonts w:hint="eastAsia" w:eastAsia="仿宋"/>
          <w:sz w:val="32"/>
          <w:szCs w:val="40"/>
        </w:rPr>
        <w:t>有限公司</w:t>
      </w:r>
      <w:r>
        <w:rPr>
          <w:rFonts w:hint="eastAsia" w:eastAsia="仿宋"/>
          <w:sz w:val="32"/>
          <w:szCs w:val="40"/>
          <w:lang w:eastAsia="zh-CN"/>
        </w:rPr>
        <w:t>压榨花生油生产项目</w:t>
      </w:r>
      <w:r>
        <w:rPr>
          <w:rFonts w:hint="eastAsia" w:eastAsia="仿宋"/>
          <w:sz w:val="32"/>
          <w:szCs w:val="40"/>
        </w:rPr>
        <w:t>环境影响报告表》，并于</w:t>
      </w:r>
      <w:r>
        <w:rPr>
          <w:rFonts w:hint="eastAsia" w:eastAsia="仿宋"/>
          <w:sz w:val="32"/>
          <w:szCs w:val="40"/>
          <w:lang w:eastAsia="zh-CN"/>
        </w:rPr>
        <w:t>同</w:t>
      </w:r>
      <w:r>
        <w:rPr>
          <w:rFonts w:hint="eastAsia" w:eastAsia="仿宋"/>
          <w:sz w:val="32"/>
          <w:szCs w:val="40"/>
        </w:rPr>
        <w:t>月取得青岛市生态环境局胶州分局批复（胶环审[20</w:t>
      </w:r>
      <w:r>
        <w:rPr>
          <w:rFonts w:hint="eastAsia" w:eastAsia="仿宋"/>
          <w:sz w:val="32"/>
          <w:szCs w:val="40"/>
          <w:lang w:val="en-US" w:eastAsia="zh-CN"/>
        </w:rPr>
        <w:t>19</w:t>
      </w:r>
      <w:r>
        <w:rPr>
          <w:rFonts w:hint="eastAsia" w:eastAsia="仿宋"/>
          <w:sz w:val="32"/>
          <w:szCs w:val="40"/>
        </w:rPr>
        <w:t>]</w:t>
      </w:r>
      <w:r>
        <w:rPr>
          <w:rFonts w:hint="eastAsia" w:eastAsia="仿宋"/>
          <w:sz w:val="32"/>
          <w:szCs w:val="40"/>
          <w:lang w:val="en-US" w:eastAsia="zh-CN"/>
        </w:rPr>
        <w:t>456</w:t>
      </w:r>
      <w:r>
        <w:rPr>
          <w:rFonts w:hint="eastAsia" w:eastAsia="仿宋"/>
          <w:sz w:val="32"/>
          <w:szCs w:val="40"/>
        </w:rPr>
        <w:t>号）。</w:t>
      </w:r>
    </w:p>
    <w:p>
      <w:pPr>
        <w:autoSpaceDE w:val="0"/>
        <w:autoSpaceDN w:val="0"/>
        <w:adjustRightInd w:val="0"/>
        <w:spacing w:line="560" w:lineRule="exact"/>
        <w:ind w:firstLine="640" w:firstLineChars="200"/>
        <w:rPr>
          <w:rFonts w:eastAsia="仿宋"/>
          <w:sz w:val="32"/>
          <w:szCs w:val="40"/>
        </w:rPr>
      </w:pPr>
      <w:r>
        <w:rPr>
          <w:rFonts w:hint="eastAsia" w:eastAsia="仿宋"/>
          <w:sz w:val="32"/>
          <w:szCs w:val="40"/>
        </w:rPr>
        <w:t>项目于20</w:t>
      </w:r>
      <w:r>
        <w:rPr>
          <w:rFonts w:hint="eastAsia" w:eastAsia="仿宋"/>
          <w:sz w:val="32"/>
          <w:szCs w:val="40"/>
          <w:lang w:val="en-US" w:eastAsia="zh-CN"/>
        </w:rPr>
        <w:t>19</w:t>
      </w:r>
      <w:r>
        <w:rPr>
          <w:rFonts w:hint="eastAsia" w:eastAsia="仿宋"/>
          <w:sz w:val="32"/>
          <w:szCs w:val="40"/>
        </w:rPr>
        <w:t>年</w:t>
      </w:r>
      <w:r>
        <w:rPr>
          <w:rFonts w:hint="eastAsia" w:eastAsia="仿宋"/>
          <w:sz w:val="32"/>
          <w:szCs w:val="40"/>
          <w:lang w:val="en-US" w:eastAsia="zh-CN"/>
        </w:rPr>
        <w:t>8</w:t>
      </w:r>
      <w:r>
        <w:rPr>
          <w:rFonts w:hint="eastAsia" w:eastAsia="仿宋"/>
          <w:sz w:val="32"/>
          <w:szCs w:val="40"/>
        </w:rPr>
        <w:t>月开工建设，20</w:t>
      </w:r>
      <w:r>
        <w:rPr>
          <w:rFonts w:hint="eastAsia" w:eastAsia="仿宋"/>
          <w:sz w:val="32"/>
          <w:szCs w:val="40"/>
          <w:lang w:val="en-US" w:eastAsia="zh-CN"/>
        </w:rPr>
        <w:t>19</w:t>
      </w:r>
      <w:r>
        <w:rPr>
          <w:rFonts w:hint="eastAsia" w:eastAsia="仿宋"/>
          <w:sz w:val="32"/>
          <w:szCs w:val="40"/>
        </w:rPr>
        <w:t>年</w:t>
      </w:r>
      <w:r>
        <w:rPr>
          <w:rFonts w:hint="eastAsia" w:eastAsia="仿宋"/>
          <w:sz w:val="32"/>
          <w:szCs w:val="40"/>
          <w:lang w:val="en-US" w:eastAsia="zh-CN"/>
        </w:rPr>
        <w:t>12</w:t>
      </w:r>
      <w:r>
        <w:rPr>
          <w:rFonts w:hint="eastAsia" w:eastAsia="仿宋"/>
          <w:sz w:val="32"/>
          <w:szCs w:val="40"/>
        </w:rPr>
        <w:t>月建成。</w:t>
      </w:r>
    </w:p>
    <w:p>
      <w:pPr>
        <w:tabs>
          <w:tab w:val="left" w:pos="4305"/>
        </w:tabs>
        <w:spacing w:line="560" w:lineRule="exact"/>
        <w:ind w:firstLine="640" w:firstLineChars="200"/>
        <w:rPr>
          <w:rFonts w:eastAsia="仿宋"/>
          <w:sz w:val="32"/>
          <w:szCs w:val="40"/>
        </w:rPr>
      </w:pPr>
      <w:r>
        <w:rPr>
          <w:rFonts w:hint="eastAsia" w:eastAsia="仿宋"/>
          <w:sz w:val="32"/>
          <w:szCs w:val="40"/>
        </w:rPr>
        <w:t>（三）投资情况</w:t>
      </w:r>
    </w:p>
    <w:p>
      <w:pPr>
        <w:tabs>
          <w:tab w:val="left" w:pos="4305"/>
        </w:tabs>
        <w:spacing w:line="560" w:lineRule="exact"/>
        <w:ind w:firstLine="640" w:firstLineChars="200"/>
        <w:rPr>
          <w:rFonts w:eastAsia="仿宋"/>
          <w:sz w:val="32"/>
          <w:szCs w:val="40"/>
        </w:rPr>
      </w:pPr>
      <w:r>
        <w:rPr>
          <w:rFonts w:hint="eastAsia" w:eastAsia="仿宋"/>
          <w:sz w:val="32"/>
          <w:szCs w:val="40"/>
        </w:rPr>
        <w:t>项目实际总投资</w:t>
      </w:r>
      <w:r>
        <w:rPr>
          <w:rFonts w:hint="eastAsia" w:eastAsia="仿宋"/>
          <w:sz w:val="32"/>
          <w:szCs w:val="40"/>
          <w:lang w:val="en-US" w:eastAsia="zh-CN"/>
        </w:rPr>
        <w:t>3</w:t>
      </w:r>
      <w:r>
        <w:rPr>
          <w:rFonts w:hint="eastAsia" w:eastAsia="仿宋"/>
          <w:sz w:val="32"/>
          <w:szCs w:val="40"/>
        </w:rPr>
        <w:t>0万元，其中环保投资</w:t>
      </w:r>
      <w:r>
        <w:rPr>
          <w:rFonts w:hint="eastAsia" w:eastAsia="仿宋"/>
          <w:sz w:val="32"/>
          <w:szCs w:val="40"/>
          <w:lang w:val="en-US" w:eastAsia="zh-CN"/>
        </w:rPr>
        <w:t>10</w:t>
      </w:r>
      <w:r>
        <w:rPr>
          <w:rFonts w:hint="eastAsia" w:eastAsia="仿宋"/>
          <w:sz w:val="32"/>
          <w:szCs w:val="40"/>
        </w:rPr>
        <w:t>万元，占总投资的</w:t>
      </w:r>
      <w:r>
        <w:rPr>
          <w:rFonts w:hint="eastAsia" w:eastAsia="仿宋"/>
          <w:sz w:val="32"/>
          <w:szCs w:val="40"/>
          <w:lang w:val="en-US" w:eastAsia="zh-CN"/>
        </w:rPr>
        <w:t>33.3</w:t>
      </w:r>
      <w:r>
        <w:rPr>
          <w:rFonts w:hint="eastAsia" w:eastAsia="仿宋"/>
          <w:sz w:val="32"/>
          <w:szCs w:val="40"/>
        </w:rPr>
        <w:t>%。</w:t>
      </w:r>
    </w:p>
    <w:p>
      <w:pPr>
        <w:pStyle w:val="48"/>
        <w:spacing w:before="0" w:beforeAutospacing="0" w:after="0" w:afterAutospacing="0" w:line="560" w:lineRule="exact"/>
        <w:ind w:firstLine="643" w:firstLineChars="200"/>
        <w:jc w:val="both"/>
        <w:rPr>
          <w:rFonts w:ascii="Times New Roman" w:hAnsi="Times New Roman" w:eastAsia="黑体" w:cs="Times New Roman"/>
          <w:b/>
          <w:color w:val="000000"/>
          <w:sz w:val="32"/>
          <w:szCs w:val="32"/>
        </w:rPr>
      </w:pPr>
      <w:r>
        <w:rPr>
          <w:rFonts w:ascii="Times New Roman" w:hAnsi="Times New Roman" w:eastAsia="黑体" w:cs="Times New Roman"/>
          <w:b/>
          <w:color w:val="000000"/>
          <w:sz w:val="32"/>
          <w:szCs w:val="32"/>
        </w:rPr>
        <w:t>二、工程变动情况</w:t>
      </w:r>
    </w:p>
    <w:p>
      <w:pPr>
        <w:tabs>
          <w:tab w:val="left" w:pos="4305"/>
        </w:tabs>
        <w:spacing w:line="560" w:lineRule="exact"/>
        <w:ind w:firstLine="640" w:firstLineChars="200"/>
        <w:rPr>
          <w:rFonts w:eastAsia="仿宋"/>
          <w:sz w:val="32"/>
          <w:szCs w:val="40"/>
        </w:rPr>
      </w:pPr>
      <w:r>
        <w:rPr>
          <w:rFonts w:hint="eastAsia" w:eastAsia="仿宋"/>
          <w:sz w:val="32"/>
          <w:szCs w:val="40"/>
        </w:rPr>
        <w:t>该项目实际建设情况与环评及批复要求一致。</w:t>
      </w:r>
    </w:p>
    <w:p>
      <w:pPr>
        <w:tabs>
          <w:tab w:val="left" w:pos="4305"/>
        </w:tabs>
        <w:spacing w:line="560" w:lineRule="exact"/>
        <w:ind w:firstLine="643" w:firstLineChars="200"/>
        <w:rPr>
          <w:rFonts w:eastAsia="黑体"/>
          <w:b/>
          <w:color w:val="000000"/>
          <w:sz w:val="32"/>
          <w:szCs w:val="32"/>
        </w:rPr>
      </w:pPr>
      <w:r>
        <w:rPr>
          <w:rFonts w:eastAsia="黑体"/>
          <w:b/>
          <w:color w:val="000000"/>
          <w:sz w:val="32"/>
          <w:szCs w:val="32"/>
        </w:rPr>
        <w:t>三、环境保护设施建设情况</w:t>
      </w:r>
    </w:p>
    <w:p>
      <w:pPr>
        <w:pStyle w:val="10"/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/>
          <w:sz w:val="32"/>
          <w:szCs w:val="40"/>
        </w:rPr>
      </w:pPr>
      <w:r>
        <w:rPr>
          <w:rFonts w:hint="eastAsia" w:ascii="Times New Roman" w:hAnsi="Times New Roman" w:eastAsia="仿宋"/>
          <w:sz w:val="32"/>
          <w:szCs w:val="40"/>
        </w:rPr>
        <w:t>（一）废水</w:t>
      </w:r>
    </w:p>
    <w:p>
      <w:pPr>
        <w:pStyle w:val="10"/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/>
          <w:sz w:val="32"/>
          <w:szCs w:val="40"/>
        </w:rPr>
      </w:pPr>
      <w:r>
        <w:rPr>
          <w:rFonts w:hint="eastAsia" w:ascii="Times New Roman" w:hAnsi="Times New Roman" w:eastAsia="仿宋"/>
          <w:sz w:val="32"/>
          <w:szCs w:val="40"/>
        </w:rPr>
        <w:t>生活污水经化粪池预处理后</w:t>
      </w:r>
      <w:r>
        <w:rPr>
          <w:rFonts w:hint="eastAsia" w:ascii="Times New Roman" w:hAnsi="Times New Roman" w:eastAsia="仿宋"/>
          <w:sz w:val="32"/>
          <w:szCs w:val="40"/>
          <w:lang w:eastAsia="zh-CN"/>
        </w:rPr>
        <w:t>外运做农肥</w:t>
      </w:r>
      <w:r>
        <w:rPr>
          <w:rFonts w:hint="eastAsia" w:ascii="Times New Roman" w:hAnsi="Times New Roman" w:eastAsia="仿宋"/>
          <w:sz w:val="32"/>
          <w:szCs w:val="40"/>
        </w:rPr>
        <w:t>。</w:t>
      </w:r>
    </w:p>
    <w:p>
      <w:pPr>
        <w:pStyle w:val="10"/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/>
          <w:sz w:val="32"/>
          <w:szCs w:val="40"/>
        </w:rPr>
      </w:pPr>
      <w:r>
        <w:rPr>
          <w:rFonts w:hint="eastAsia" w:ascii="Times New Roman" w:hAnsi="Times New Roman" w:eastAsia="仿宋"/>
          <w:sz w:val="32"/>
          <w:szCs w:val="40"/>
        </w:rPr>
        <w:t>（二）废气</w:t>
      </w:r>
    </w:p>
    <w:p>
      <w:pPr>
        <w:adjustRightInd w:val="0"/>
        <w:snapToGrid w:val="0"/>
        <w:spacing w:line="500" w:lineRule="exact"/>
        <w:ind w:firstLine="640" w:firstLineChars="200"/>
        <w:rPr>
          <w:rFonts w:hint="eastAsia" w:ascii="Times New Roman" w:hAnsi="Times New Roman" w:eastAsia="仿宋" w:cs="Times New Roman"/>
          <w:kern w:val="2"/>
          <w:sz w:val="32"/>
          <w:szCs w:val="40"/>
          <w:lang w:val="en-US" w:eastAsia="zh-CN" w:bidi="ar-SA"/>
        </w:rPr>
      </w:pPr>
      <w:r>
        <w:rPr>
          <w:rFonts w:hint="eastAsia" w:ascii="Times New Roman" w:hAnsi="Times New Roman" w:eastAsia="仿宋" w:cs="Times New Roman"/>
          <w:kern w:val="2"/>
          <w:sz w:val="32"/>
          <w:szCs w:val="40"/>
          <w:lang w:val="en-US" w:eastAsia="zh-CN" w:bidi="ar-SA"/>
        </w:rPr>
        <w:t>项目（一期）采用电加热进行蒸炒。蒸炒、压榨过程产生的废气经油雾净化处理器处理后排放。</w:t>
      </w:r>
    </w:p>
    <w:p>
      <w:pPr>
        <w:adjustRightInd w:val="0"/>
        <w:snapToGrid w:val="0"/>
        <w:spacing w:line="500" w:lineRule="exact"/>
        <w:ind w:firstLine="640" w:firstLineChars="200"/>
        <w:rPr>
          <w:rFonts w:hint="eastAsia" w:ascii="Times New Roman" w:hAnsi="Times New Roman" w:eastAsia="仿宋" w:cs="Times New Roman"/>
          <w:kern w:val="2"/>
          <w:sz w:val="32"/>
          <w:szCs w:val="40"/>
          <w:lang w:val="en-US" w:eastAsia="zh-CN" w:bidi="ar-SA"/>
        </w:rPr>
      </w:pPr>
      <w:r>
        <w:rPr>
          <w:rFonts w:hint="eastAsia" w:ascii="Times New Roman" w:hAnsi="Times New Roman" w:eastAsia="仿宋" w:cs="Times New Roman"/>
          <w:kern w:val="2"/>
          <w:sz w:val="32"/>
          <w:szCs w:val="40"/>
          <w:lang w:val="en-US" w:eastAsia="zh-CN" w:bidi="ar-SA"/>
        </w:rPr>
        <w:t>（三）噪声</w:t>
      </w:r>
    </w:p>
    <w:p>
      <w:pPr>
        <w:adjustRightInd w:val="0"/>
        <w:snapToGrid w:val="0"/>
        <w:spacing w:line="500" w:lineRule="exact"/>
        <w:ind w:firstLine="640" w:firstLineChars="200"/>
        <w:rPr>
          <w:rFonts w:hint="eastAsia" w:ascii="Times New Roman" w:hAnsi="Times New Roman" w:eastAsia="仿宋" w:cs="Times New Roman"/>
          <w:kern w:val="2"/>
          <w:sz w:val="32"/>
          <w:szCs w:val="40"/>
          <w:lang w:val="en-US" w:eastAsia="zh-CN" w:bidi="ar-SA"/>
        </w:rPr>
      </w:pPr>
      <w:r>
        <w:rPr>
          <w:rFonts w:hint="eastAsia" w:ascii="Times New Roman" w:hAnsi="Times New Roman" w:eastAsia="仿宋" w:cs="Times New Roman"/>
          <w:kern w:val="2"/>
          <w:sz w:val="32"/>
          <w:szCs w:val="40"/>
          <w:lang w:val="en-US" w:eastAsia="zh-CN" w:bidi="ar-SA"/>
        </w:rPr>
        <w:t xml:space="preserve"> 项目选用低噪声设备，采取了减振、隔声等降噪措施。距离项目最近的敏感点为东南侧52米处的西门村。</w:t>
      </w:r>
    </w:p>
    <w:p>
      <w:pPr>
        <w:adjustRightInd w:val="0"/>
        <w:snapToGrid w:val="0"/>
        <w:spacing w:line="500" w:lineRule="exact"/>
        <w:ind w:firstLine="640" w:firstLineChars="200"/>
        <w:rPr>
          <w:rFonts w:hint="eastAsia" w:ascii="Times New Roman" w:hAnsi="Times New Roman" w:eastAsia="仿宋" w:cs="Times New Roman"/>
          <w:kern w:val="2"/>
          <w:sz w:val="32"/>
          <w:szCs w:val="40"/>
          <w:lang w:val="en-US" w:eastAsia="zh-CN" w:bidi="ar-SA"/>
        </w:rPr>
      </w:pPr>
      <w:r>
        <w:rPr>
          <w:rFonts w:hint="eastAsia" w:ascii="Times New Roman" w:hAnsi="Times New Roman" w:eastAsia="仿宋" w:cs="Times New Roman"/>
          <w:kern w:val="2"/>
          <w:sz w:val="32"/>
          <w:szCs w:val="40"/>
          <w:lang w:val="en-US" w:eastAsia="zh-CN" w:bidi="ar-SA"/>
        </w:rPr>
        <w:t>（四）固体废物</w:t>
      </w:r>
    </w:p>
    <w:p>
      <w:pPr>
        <w:adjustRightInd w:val="0"/>
        <w:snapToGrid w:val="0"/>
        <w:spacing w:line="500" w:lineRule="exact"/>
        <w:ind w:firstLine="640" w:firstLineChars="200"/>
        <w:rPr>
          <w:rFonts w:hint="eastAsia" w:ascii="Times New Roman" w:hAnsi="Times New Roman" w:eastAsia="仿宋" w:cs="Times New Roman"/>
          <w:kern w:val="2"/>
          <w:sz w:val="32"/>
          <w:szCs w:val="40"/>
          <w:lang w:val="en-US" w:eastAsia="zh-CN" w:bidi="ar-SA"/>
        </w:rPr>
      </w:pPr>
      <w:r>
        <w:rPr>
          <w:rFonts w:hint="eastAsia" w:ascii="Times New Roman" w:hAnsi="Times New Roman" w:eastAsia="仿宋" w:cs="Times New Roman"/>
          <w:kern w:val="2"/>
          <w:sz w:val="32"/>
          <w:szCs w:val="40"/>
          <w:lang w:val="en-US" w:eastAsia="zh-CN" w:bidi="ar-SA"/>
        </w:rPr>
        <w:t>职工产生的生活垃圾、废含油抹布集中收集，由环卫部门定期清运；生产过程产生的胚饼、废包装材料、过滤渣、废滤布、油雾净化器捕集废油等一般固废收集后外售，不合格品及下脚料收集后外售，更换的废导热油、废导热油桶均暂存于危废暂存间，并委托济南云水腾跃环保科技有限公司、泰安市腾跃环保科技有限公司处置。</w:t>
      </w:r>
    </w:p>
    <w:p>
      <w:pPr>
        <w:adjustRightInd w:val="0"/>
        <w:snapToGrid w:val="0"/>
        <w:spacing w:line="560" w:lineRule="exact"/>
        <w:ind w:firstLine="643" w:firstLineChars="200"/>
        <w:rPr>
          <w:rFonts w:eastAsia="黑体"/>
          <w:b/>
          <w:color w:val="000000"/>
          <w:sz w:val="32"/>
          <w:szCs w:val="32"/>
        </w:rPr>
      </w:pPr>
      <w:r>
        <w:rPr>
          <w:rFonts w:eastAsia="黑体"/>
          <w:b/>
          <w:color w:val="000000"/>
          <w:sz w:val="32"/>
          <w:szCs w:val="32"/>
        </w:rPr>
        <w:t>四、环境保护设施调试效果</w:t>
      </w:r>
    </w:p>
    <w:p>
      <w:pPr>
        <w:pStyle w:val="10"/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/>
          <w:sz w:val="32"/>
          <w:szCs w:val="40"/>
        </w:rPr>
      </w:pPr>
      <w:r>
        <w:rPr>
          <w:rFonts w:hint="eastAsia" w:ascii="Times New Roman" w:hAnsi="Times New Roman" w:eastAsia="仿宋"/>
          <w:sz w:val="32"/>
          <w:szCs w:val="40"/>
        </w:rPr>
        <w:t xml:space="preserve"> 青岛顺昌检测评价有限公司出具的《监测报告》（</w:t>
      </w:r>
      <w:r>
        <w:rPr>
          <w:rFonts w:ascii="Times New Roman" w:hAnsi="Times New Roman" w:eastAsia="仿宋"/>
          <w:sz w:val="32"/>
          <w:szCs w:val="40"/>
        </w:rPr>
        <w:t>20</w:t>
      </w:r>
      <w:r>
        <w:rPr>
          <w:rFonts w:hint="eastAsia" w:ascii="Times New Roman" w:hAnsi="Times New Roman" w:eastAsia="仿宋"/>
          <w:sz w:val="32"/>
          <w:szCs w:val="40"/>
        </w:rPr>
        <w:t>20-0</w:t>
      </w:r>
      <w:r>
        <w:rPr>
          <w:rFonts w:hint="eastAsia" w:ascii="Times New Roman" w:hAnsi="Times New Roman" w:eastAsia="仿宋"/>
          <w:sz w:val="32"/>
          <w:szCs w:val="40"/>
          <w:lang w:val="en-US" w:eastAsia="zh-CN"/>
        </w:rPr>
        <w:t>622</w:t>
      </w:r>
      <w:r>
        <w:rPr>
          <w:rFonts w:hint="eastAsia" w:ascii="Times New Roman" w:hAnsi="Times New Roman" w:eastAsia="仿宋"/>
          <w:sz w:val="32"/>
          <w:szCs w:val="40"/>
        </w:rPr>
        <w:t>）表明，验收监测期间：</w:t>
      </w:r>
    </w:p>
    <w:p>
      <w:pPr>
        <w:pStyle w:val="10"/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/>
          <w:sz w:val="32"/>
          <w:szCs w:val="40"/>
        </w:rPr>
      </w:pPr>
      <w:r>
        <w:rPr>
          <w:rFonts w:hint="eastAsia" w:ascii="Times New Roman" w:hAnsi="Times New Roman" w:eastAsia="仿宋"/>
          <w:sz w:val="32"/>
          <w:szCs w:val="40"/>
        </w:rPr>
        <w:t>（一）废气</w:t>
      </w:r>
    </w:p>
    <w:p>
      <w:pPr>
        <w:pStyle w:val="10"/>
        <w:adjustRightInd w:val="0"/>
        <w:snapToGrid w:val="0"/>
        <w:spacing w:line="560" w:lineRule="exact"/>
        <w:ind w:firstLine="640" w:firstLineChars="200"/>
        <w:rPr>
          <w:rFonts w:hint="eastAsia" w:ascii="Times New Roman" w:hAnsi="Times New Roman" w:eastAsia="仿宋" w:cs="Times New Roman"/>
          <w:kern w:val="2"/>
          <w:sz w:val="32"/>
          <w:szCs w:val="40"/>
          <w:lang w:val="en-US" w:eastAsia="zh-CN" w:bidi="ar-SA"/>
        </w:rPr>
      </w:pPr>
      <w:r>
        <w:rPr>
          <w:rFonts w:hint="eastAsia" w:ascii="Times New Roman" w:hAnsi="Times New Roman" w:eastAsia="仿宋" w:cs="Times New Roman"/>
          <w:kern w:val="2"/>
          <w:sz w:val="32"/>
          <w:szCs w:val="40"/>
          <w:lang w:val="en-US" w:eastAsia="zh-CN" w:bidi="ar-SA"/>
        </w:rPr>
        <w:t>厂界VOCs、臭气浓度排放满足《挥发性有机物排放标准 第7部分:其他行业》( DB37/2801.7-2019)表2中厂界监控点浓度限值排放标准要求。</w:t>
      </w:r>
    </w:p>
    <w:p>
      <w:pPr>
        <w:pStyle w:val="10"/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/>
          <w:sz w:val="32"/>
          <w:szCs w:val="40"/>
        </w:rPr>
      </w:pPr>
      <w:r>
        <w:rPr>
          <w:rFonts w:hint="eastAsia" w:ascii="Times New Roman" w:hAnsi="Times New Roman" w:eastAsia="仿宋"/>
          <w:sz w:val="32"/>
          <w:szCs w:val="40"/>
        </w:rPr>
        <w:t>（二）噪声</w:t>
      </w:r>
    </w:p>
    <w:p>
      <w:pPr>
        <w:pStyle w:val="10"/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/>
          <w:sz w:val="32"/>
          <w:szCs w:val="40"/>
        </w:rPr>
      </w:pPr>
      <w:r>
        <w:rPr>
          <w:rFonts w:ascii="Times New Roman" w:hAnsi="Times New Roman" w:eastAsia="仿宋"/>
          <w:sz w:val="32"/>
          <w:szCs w:val="40"/>
        </w:rPr>
        <w:t>厂界噪声</w:t>
      </w:r>
      <w:r>
        <w:rPr>
          <w:rFonts w:hint="eastAsia" w:ascii="Times New Roman" w:hAnsi="Times New Roman" w:eastAsia="仿宋"/>
          <w:sz w:val="32"/>
          <w:szCs w:val="40"/>
        </w:rPr>
        <w:t>满足</w:t>
      </w:r>
      <w:r>
        <w:rPr>
          <w:rFonts w:ascii="Times New Roman" w:hAnsi="Times New Roman" w:eastAsia="仿宋"/>
          <w:sz w:val="32"/>
          <w:szCs w:val="40"/>
        </w:rPr>
        <w:t>《工业企业厂界环境噪声标准》（GB12348</w:t>
      </w:r>
      <w:r>
        <w:rPr>
          <w:rFonts w:hint="eastAsia" w:ascii="Times New Roman" w:hAnsi="Times New Roman" w:eastAsia="仿宋"/>
          <w:sz w:val="32"/>
          <w:szCs w:val="40"/>
        </w:rPr>
        <w:t>-</w:t>
      </w:r>
      <w:r>
        <w:rPr>
          <w:rFonts w:ascii="Times New Roman" w:hAnsi="Times New Roman" w:eastAsia="仿宋"/>
          <w:sz w:val="32"/>
          <w:szCs w:val="40"/>
        </w:rPr>
        <w:t>2008）表1中2类标准</w:t>
      </w:r>
      <w:r>
        <w:rPr>
          <w:rFonts w:hint="eastAsia" w:ascii="Times New Roman" w:hAnsi="Times New Roman" w:eastAsia="仿宋"/>
          <w:sz w:val="32"/>
          <w:szCs w:val="40"/>
        </w:rPr>
        <w:t>。</w:t>
      </w:r>
    </w:p>
    <w:p>
      <w:pPr>
        <w:pStyle w:val="10"/>
        <w:adjustRightInd w:val="0"/>
        <w:snapToGrid w:val="0"/>
        <w:spacing w:line="560" w:lineRule="exact"/>
        <w:ind w:firstLine="643" w:firstLineChars="200"/>
        <w:rPr>
          <w:rFonts w:ascii="Times New Roman" w:hAnsi="Times New Roman" w:eastAsia="黑体"/>
          <w:b/>
          <w:color w:val="000000"/>
          <w:sz w:val="32"/>
          <w:szCs w:val="32"/>
        </w:rPr>
      </w:pPr>
      <w:r>
        <w:rPr>
          <w:rFonts w:ascii="Times New Roman" w:hAnsi="Times New Roman" w:eastAsia="黑体"/>
          <w:b/>
          <w:color w:val="000000"/>
          <w:sz w:val="32"/>
          <w:szCs w:val="32"/>
        </w:rPr>
        <w:t>五、验收结论</w:t>
      </w:r>
    </w:p>
    <w:p>
      <w:pPr>
        <w:pStyle w:val="48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hint="eastAsia" w:ascii="Times New Roman" w:hAnsi="Times New Roman" w:eastAsia="仿宋" w:cs="Times New Roman"/>
          <w:kern w:val="2"/>
          <w:sz w:val="32"/>
          <w:szCs w:val="40"/>
        </w:rPr>
        <w:t>项目按环评和批复要求完成“三同时”建设，无重大变动，污染物达标排放，验收监测报告结论可信，验收合格。</w:t>
      </w:r>
    </w:p>
    <w:p>
      <w:pPr>
        <w:pStyle w:val="48"/>
        <w:spacing w:before="0" w:beforeAutospacing="0" w:after="0" w:afterAutospacing="0" w:line="560" w:lineRule="exact"/>
        <w:ind w:firstLine="643" w:firstLineChars="200"/>
        <w:jc w:val="both"/>
        <w:rPr>
          <w:rFonts w:ascii="黑体" w:hAnsi="黑体" w:eastAsia="黑体" w:cs="Times New Roman"/>
          <w:b/>
          <w:color w:val="000000"/>
          <w:sz w:val="32"/>
          <w:szCs w:val="32"/>
        </w:rPr>
      </w:pPr>
      <w:r>
        <w:rPr>
          <w:rFonts w:hint="eastAsia" w:ascii="黑体" w:hAnsi="黑体" w:eastAsia="黑体" w:cs="Times New Roman"/>
          <w:b/>
          <w:color w:val="000000"/>
          <w:sz w:val="32"/>
          <w:szCs w:val="32"/>
        </w:rPr>
        <w:t>六、</w:t>
      </w:r>
      <w:r>
        <w:rPr>
          <w:rFonts w:ascii="黑体" w:hAnsi="黑体" w:eastAsia="黑体" w:cs="Times New Roman"/>
          <w:b/>
          <w:color w:val="000000"/>
          <w:sz w:val="32"/>
          <w:szCs w:val="32"/>
        </w:rPr>
        <w:t>后续要求</w:t>
      </w:r>
    </w:p>
    <w:p>
      <w:pPr>
        <w:pStyle w:val="10"/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/>
          <w:sz w:val="32"/>
          <w:szCs w:val="40"/>
        </w:rPr>
      </w:pPr>
      <w:r>
        <w:rPr>
          <w:rFonts w:hint="eastAsia" w:ascii="Times New Roman" w:hAnsi="Times New Roman" w:eastAsia="仿宋"/>
          <w:sz w:val="32"/>
          <w:szCs w:val="40"/>
        </w:rPr>
        <w:t>（一）</w:t>
      </w:r>
      <w:r>
        <w:rPr>
          <w:rFonts w:ascii="Times New Roman" w:hAnsi="Times New Roman" w:eastAsia="仿宋"/>
          <w:sz w:val="32"/>
          <w:szCs w:val="40"/>
        </w:rPr>
        <w:t>加强对污染防治设施运行、维护的管理，</w:t>
      </w:r>
      <w:r>
        <w:rPr>
          <w:rFonts w:hint="eastAsia" w:ascii="Times New Roman" w:hAnsi="Times New Roman" w:eastAsia="仿宋"/>
          <w:sz w:val="32"/>
          <w:szCs w:val="40"/>
        </w:rPr>
        <w:t>及时更换活性炭，</w:t>
      </w:r>
      <w:r>
        <w:rPr>
          <w:rFonts w:ascii="Times New Roman" w:hAnsi="Times New Roman" w:eastAsia="仿宋"/>
          <w:sz w:val="32"/>
          <w:szCs w:val="40"/>
        </w:rPr>
        <w:t>确保环境保护设施正常运转，污染物稳定达标排放。</w:t>
      </w:r>
    </w:p>
    <w:p>
      <w:pPr>
        <w:pStyle w:val="10"/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/>
          <w:sz w:val="32"/>
          <w:szCs w:val="40"/>
        </w:rPr>
      </w:pPr>
      <w:r>
        <w:rPr>
          <w:rFonts w:hint="eastAsia" w:ascii="Times New Roman" w:hAnsi="Times New Roman" w:eastAsia="仿宋"/>
          <w:sz w:val="32"/>
          <w:szCs w:val="40"/>
        </w:rPr>
        <w:t>（二）</w:t>
      </w:r>
      <w:r>
        <w:rPr>
          <w:rFonts w:ascii="Times New Roman" w:hAnsi="Times New Roman" w:eastAsia="仿宋"/>
          <w:sz w:val="32"/>
          <w:szCs w:val="40"/>
        </w:rPr>
        <w:t>按《排污单位自行监测技术指南-总则》（HJ819-2017）要求，自主进行污染源监测，并做好记录。</w:t>
      </w:r>
    </w:p>
    <w:p>
      <w:pPr>
        <w:pStyle w:val="48"/>
        <w:spacing w:before="0" w:beforeAutospacing="0" w:after="0" w:afterAutospacing="0" w:line="560" w:lineRule="exact"/>
        <w:ind w:firstLine="640" w:firstLineChars="200"/>
        <w:jc w:val="both"/>
        <w:outlineLvl w:val="0"/>
        <w:rPr>
          <w:rFonts w:ascii="Times New Roman" w:hAnsi="Times New Roman" w:eastAsia="仿宋" w:cs="Times New Roman"/>
          <w:kern w:val="2"/>
          <w:sz w:val="32"/>
          <w:szCs w:val="40"/>
        </w:rPr>
      </w:pPr>
      <w:r>
        <w:rPr>
          <w:rFonts w:hint="eastAsia" w:ascii="Times New Roman" w:hAnsi="Times New Roman" w:eastAsia="仿宋" w:cs="Times New Roman"/>
          <w:kern w:val="2"/>
          <w:sz w:val="32"/>
          <w:szCs w:val="40"/>
        </w:rPr>
        <w:br w:type="page"/>
      </w:r>
    </w:p>
    <w:p>
      <w:pPr>
        <w:pStyle w:val="48"/>
        <w:spacing w:before="0" w:beforeAutospacing="0" w:after="0" w:afterAutospacing="0" w:line="560" w:lineRule="exact"/>
        <w:ind w:firstLine="643" w:firstLineChars="200"/>
        <w:jc w:val="both"/>
        <w:outlineLvl w:val="0"/>
        <w:rPr>
          <w:rFonts w:ascii="Times New Roman" w:hAnsi="Times New Roman" w:eastAsia="黑体" w:cs="Times New Roman"/>
          <w:b/>
          <w:color w:val="000000"/>
          <w:sz w:val="32"/>
          <w:szCs w:val="32"/>
        </w:rPr>
      </w:pPr>
      <w:r>
        <w:rPr>
          <w:rFonts w:hint="eastAsia" w:ascii="Times New Roman" w:hAnsi="Times New Roman" w:eastAsia="黑体" w:cs="Times New Roman"/>
          <w:b/>
          <w:color w:val="000000"/>
          <w:sz w:val="32"/>
          <w:szCs w:val="32"/>
        </w:rPr>
        <w:t>七</w:t>
      </w:r>
      <w:r>
        <w:rPr>
          <w:rFonts w:ascii="Times New Roman" w:hAnsi="Times New Roman" w:eastAsia="黑体" w:cs="Times New Roman"/>
          <w:b/>
          <w:color w:val="000000"/>
          <w:sz w:val="32"/>
          <w:szCs w:val="32"/>
        </w:rPr>
        <w:t>、验收人员信息</w:t>
      </w:r>
    </w:p>
    <w:tbl>
      <w:tblPr>
        <w:tblStyle w:val="19"/>
        <w:tblW w:w="90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1788"/>
        <w:gridCol w:w="1134"/>
        <w:gridCol w:w="2694"/>
        <w:gridCol w:w="1134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3" w:hRule="exact"/>
          <w:jc w:val="center"/>
        </w:trPr>
        <w:tc>
          <w:tcPr>
            <w:tcW w:w="2355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仿宋"/>
                <w:sz w:val="32"/>
                <w:szCs w:val="32"/>
              </w:rPr>
            </w:pPr>
            <w:r>
              <w:rPr>
                <w:rFonts w:eastAsia="仿宋"/>
                <w:sz w:val="32"/>
                <w:szCs w:val="32"/>
              </w:rPr>
              <w:t>验收组</w:t>
            </w: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仿宋"/>
                <w:sz w:val="32"/>
                <w:szCs w:val="32"/>
              </w:rPr>
            </w:pPr>
            <w:r>
              <w:rPr>
                <w:rFonts w:eastAsia="仿宋"/>
                <w:sz w:val="32"/>
                <w:szCs w:val="32"/>
              </w:rPr>
              <w:t>姓 名</w:t>
            </w:r>
          </w:p>
        </w:tc>
        <w:tc>
          <w:tcPr>
            <w:tcW w:w="2694" w:type="dxa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仿宋"/>
                <w:sz w:val="32"/>
                <w:szCs w:val="32"/>
              </w:rPr>
            </w:pPr>
            <w:r>
              <w:rPr>
                <w:rFonts w:eastAsia="仿宋"/>
                <w:sz w:val="32"/>
                <w:szCs w:val="32"/>
              </w:rPr>
              <w:t>工作单位</w:t>
            </w: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仿宋"/>
                <w:sz w:val="32"/>
                <w:szCs w:val="32"/>
              </w:rPr>
            </w:pPr>
            <w:r>
              <w:rPr>
                <w:rFonts w:eastAsia="仿宋"/>
                <w:sz w:val="32"/>
                <w:szCs w:val="32"/>
              </w:rPr>
              <w:t>职务/</w:t>
            </w:r>
          </w:p>
          <w:p>
            <w:pPr>
              <w:snapToGrid w:val="0"/>
              <w:spacing w:line="440" w:lineRule="exact"/>
              <w:jc w:val="center"/>
              <w:rPr>
                <w:rFonts w:eastAsia="仿宋"/>
                <w:sz w:val="32"/>
                <w:szCs w:val="32"/>
              </w:rPr>
            </w:pPr>
            <w:r>
              <w:rPr>
                <w:rFonts w:eastAsia="仿宋"/>
                <w:sz w:val="32"/>
                <w:szCs w:val="32"/>
              </w:rPr>
              <w:t>职称</w:t>
            </w:r>
          </w:p>
        </w:tc>
        <w:tc>
          <w:tcPr>
            <w:tcW w:w="1701" w:type="dxa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仿宋"/>
                <w:sz w:val="32"/>
                <w:szCs w:val="32"/>
              </w:rPr>
            </w:pPr>
            <w:r>
              <w:rPr>
                <w:rFonts w:eastAsia="仿宋"/>
                <w:sz w:val="32"/>
                <w:szCs w:val="32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4" w:hRule="exact"/>
          <w:jc w:val="center"/>
        </w:trPr>
        <w:tc>
          <w:tcPr>
            <w:tcW w:w="567" w:type="dxa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仿宋"/>
                <w:sz w:val="32"/>
                <w:szCs w:val="32"/>
              </w:rPr>
            </w:pPr>
            <w:r>
              <w:rPr>
                <w:rFonts w:eastAsia="仿宋"/>
                <w:sz w:val="32"/>
                <w:szCs w:val="32"/>
              </w:rPr>
              <w:t>组长</w:t>
            </w:r>
          </w:p>
        </w:tc>
        <w:tc>
          <w:tcPr>
            <w:tcW w:w="1788" w:type="dxa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仿宋"/>
                <w:sz w:val="32"/>
                <w:szCs w:val="32"/>
              </w:rPr>
            </w:pPr>
            <w:r>
              <w:rPr>
                <w:rFonts w:eastAsia="仿宋"/>
                <w:sz w:val="32"/>
                <w:szCs w:val="32"/>
              </w:rPr>
              <w:t>建设单位</w:t>
            </w: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hint="eastAsia" w:eastAsia="仿宋"/>
                <w:sz w:val="32"/>
                <w:szCs w:val="32"/>
                <w:lang w:eastAsia="zh-CN"/>
              </w:rPr>
            </w:pPr>
            <w:r>
              <w:rPr>
                <w:rFonts w:hint="eastAsia" w:eastAsia="仿宋"/>
                <w:sz w:val="32"/>
                <w:szCs w:val="32"/>
                <w:lang w:eastAsia="zh-CN"/>
              </w:rPr>
              <w:t>齐克富</w:t>
            </w:r>
          </w:p>
        </w:tc>
        <w:tc>
          <w:tcPr>
            <w:tcW w:w="2694" w:type="dxa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仿宋"/>
                <w:sz w:val="32"/>
                <w:szCs w:val="32"/>
              </w:rPr>
            </w:pPr>
            <w:r>
              <w:rPr>
                <w:rFonts w:hint="eastAsia" w:eastAsia="仿宋"/>
                <w:sz w:val="32"/>
                <w:szCs w:val="32"/>
              </w:rPr>
              <w:t>青岛</w:t>
            </w:r>
            <w:r>
              <w:rPr>
                <w:rFonts w:hint="eastAsia" w:eastAsia="仿宋"/>
                <w:sz w:val="32"/>
                <w:szCs w:val="32"/>
                <w:lang w:eastAsia="zh-CN"/>
              </w:rPr>
              <w:t>海花植物油</w:t>
            </w:r>
            <w:r>
              <w:rPr>
                <w:rFonts w:hint="eastAsia" w:eastAsia="仿宋"/>
                <w:sz w:val="32"/>
                <w:szCs w:val="32"/>
              </w:rPr>
              <w:t>有限公司</w:t>
            </w: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仿宋"/>
                <w:sz w:val="32"/>
                <w:szCs w:val="32"/>
              </w:rPr>
            </w:pPr>
            <w:r>
              <w:rPr>
                <w:rFonts w:hint="eastAsia" w:eastAsia="仿宋"/>
                <w:sz w:val="32"/>
                <w:szCs w:val="32"/>
              </w:rPr>
              <w:t>总经理</w:t>
            </w:r>
          </w:p>
        </w:tc>
        <w:tc>
          <w:tcPr>
            <w:tcW w:w="1701" w:type="dxa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4" w:hRule="exact"/>
          <w:jc w:val="center"/>
        </w:trPr>
        <w:tc>
          <w:tcPr>
            <w:tcW w:w="567" w:type="dxa"/>
            <w:vMerge w:val="restart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仿宋"/>
                <w:sz w:val="32"/>
                <w:szCs w:val="32"/>
              </w:rPr>
            </w:pPr>
            <w:r>
              <w:rPr>
                <w:rFonts w:hint="eastAsia" w:eastAsia="仿宋"/>
                <w:sz w:val="32"/>
                <w:szCs w:val="32"/>
              </w:rPr>
              <w:t>组员</w:t>
            </w:r>
          </w:p>
        </w:tc>
        <w:tc>
          <w:tcPr>
            <w:tcW w:w="1788" w:type="dxa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仿宋"/>
                <w:sz w:val="32"/>
                <w:szCs w:val="32"/>
              </w:rPr>
            </w:pPr>
            <w:r>
              <w:rPr>
                <w:rFonts w:hint="eastAsia" w:eastAsia="仿宋"/>
                <w:sz w:val="32"/>
                <w:szCs w:val="32"/>
              </w:rPr>
              <w:t>建设单位</w:t>
            </w: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hint="eastAsia" w:eastAsia="仿宋"/>
                <w:sz w:val="32"/>
                <w:szCs w:val="32"/>
                <w:lang w:eastAsia="zh-CN"/>
              </w:rPr>
            </w:pPr>
            <w:r>
              <w:rPr>
                <w:rFonts w:hint="eastAsia" w:eastAsia="仿宋"/>
                <w:sz w:val="32"/>
                <w:szCs w:val="32"/>
                <w:lang w:eastAsia="zh-CN"/>
              </w:rPr>
              <w:t>刘亚男</w:t>
            </w:r>
          </w:p>
        </w:tc>
        <w:tc>
          <w:tcPr>
            <w:tcW w:w="2694" w:type="dxa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仿宋"/>
                <w:bCs/>
                <w:sz w:val="32"/>
                <w:szCs w:val="32"/>
              </w:rPr>
            </w:pPr>
            <w:r>
              <w:rPr>
                <w:rFonts w:hint="eastAsia" w:eastAsia="仿宋"/>
                <w:bCs/>
                <w:sz w:val="32"/>
                <w:szCs w:val="32"/>
              </w:rPr>
              <w:t>青岛</w:t>
            </w:r>
            <w:r>
              <w:rPr>
                <w:rFonts w:hint="eastAsia" w:eastAsia="仿宋"/>
                <w:sz w:val="32"/>
                <w:szCs w:val="32"/>
                <w:lang w:eastAsia="zh-CN"/>
              </w:rPr>
              <w:t>海花植物油</w:t>
            </w:r>
            <w:r>
              <w:rPr>
                <w:rFonts w:hint="eastAsia" w:eastAsia="仿宋"/>
                <w:bCs/>
                <w:sz w:val="32"/>
                <w:szCs w:val="32"/>
              </w:rPr>
              <w:t>有限公司</w:t>
            </w: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仿宋"/>
                <w:sz w:val="32"/>
                <w:szCs w:val="32"/>
              </w:rPr>
            </w:pPr>
            <w:r>
              <w:rPr>
                <w:rFonts w:hint="eastAsia" w:eastAsia="仿宋"/>
                <w:sz w:val="32"/>
                <w:szCs w:val="32"/>
              </w:rPr>
              <w:t>主任</w:t>
            </w:r>
          </w:p>
        </w:tc>
        <w:tc>
          <w:tcPr>
            <w:tcW w:w="1701" w:type="dxa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3" w:hRule="exact"/>
          <w:jc w:val="center"/>
        </w:trPr>
        <w:tc>
          <w:tcPr>
            <w:tcW w:w="567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1788" w:type="dxa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仿宋"/>
                <w:sz w:val="32"/>
                <w:szCs w:val="32"/>
              </w:rPr>
            </w:pPr>
            <w:r>
              <w:rPr>
                <w:rFonts w:hint="eastAsia" w:eastAsia="仿宋"/>
                <w:sz w:val="32"/>
                <w:szCs w:val="32"/>
              </w:rPr>
              <w:t>验收监测单位</w:t>
            </w: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仿宋"/>
                <w:sz w:val="32"/>
                <w:szCs w:val="32"/>
              </w:rPr>
            </w:pPr>
            <w:r>
              <w:rPr>
                <w:rFonts w:hint="eastAsia" w:eastAsia="仿宋"/>
                <w:sz w:val="32"/>
                <w:szCs w:val="32"/>
              </w:rPr>
              <w:t>付晓东</w:t>
            </w:r>
          </w:p>
        </w:tc>
        <w:tc>
          <w:tcPr>
            <w:tcW w:w="2694" w:type="dxa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仿宋"/>
                <w:sz w:val="32"/>
                <w:szCs w:val="32"/>
              </w:rPr>
            </w:pPr>
            <w:r>
              <w:rPr>
                <w:rFonts w:hint="eastAsia" w:eastAsia="仿宋"/>
                <w:sz w:val="32"/>
                <w:szCs w:val="32"/>
              </w:rPr>
              <w:t>青岛顺昌检测评价</w:t>
            </w:r>
          </w:p>
          <w:p>
            <w:pPr>
              <w:snapToGrid w:val="0"/>
              <w:spacing w:line="440" w:lineRule="exact"/>
              <w:jc w:val="center"/>
              <w:rPr>
                <w:rFonts w:eastAsia="仿宋"/>
                <w:sz w:val="32"/>
                <w:szCs w:val="32"/>
              </w:rPr>
            </w:pPr>
            <w:r>
              <w:rPr>
                <w:rFonts w:hint="eastAsia" w:eastAsia="仿宋"/>
                <w:sz w:val="32"/>
                <w:szCs w:val="32"/>
              </w:rPr>
              <w:t>有限公司</w:t>
            </w: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仿宋"/>
                <w:sz w:val="32"/>
                <w:szCs w:val="32"/>
              </w:rPr>
            </w:pPr>
            <w:r>
              <w:rPr>
                <w:rFonts w:hint="eastAsia" w:eastAsia="仿宋"/>
                <w:sz w:val="32"/>
                <w:szCs w:val="32"/>
              </w:rPr>
              <w:t>工程师</w:t>
            </w:r>
          </w:p>
        </w:tc>
        <w:tc>
          <w:tcPr>
            <w:tcW w:w="1701" w:type="dxa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3" w:hRule="exact"/>
          <w:jc w:val="center"/>
        </w:trPr>
        <w:tc>
          <w:tcPr>
            <w:tcW w:w="567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1788" w:type="dxa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仿宋"/>
                <w:sz w:val="32"/>
                <w:szCs w:val="32"/>
              </w:rPr>
            </w:pPr>
            <w:r>
              <w:rPr>
                <w:rFonts w:hint="eastAsia" w:eastAsia="仿宋"/>
                <w:sz w:val="32"/>
                <w:szCs w:val="32"/>
              </w:rPr>
              <w:t>验收监测报告编制单位</w:t>
            </w: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仿宋"/>
                <w:sz w:val="32"/>
                <w:szCs w:val="32"/>
              </w:rPr>
            </w:pPr>
            <w:r>
              <w:rPr>
                <w:rFonts w:hint="eastAsia" w:eastAsia="仿宋"/>
                <w:sz w:val="32"/>
                <w:szCs w:val="32"/>
              </w:rPr>
              <w:t xml:space="preserve">张 </w:t>
            </w:r>
            <w:r>
              <w:rPr>
                <w:rFonts w:eastAsia="仿宋"/>
                <w:sz w:val="32"/>
                <w:szCs w:val="32"/>
              </w:rPr>
              <w:t xml:space="preserve"> </w:t>
            </w:r>
            <w:r>
              <w:rPr>
                <w:rFonts w:hint="eastAsia" w:eastAsia="仿宋"/>
                <w:sz w:val="32"/>
                <w:szCs w:val="32"/>
              </w:rPr>
              <w:t>琦</w:t>
            </w:r>
          </w:p>
        </w:tc>
        <w:tc>
          <w:tcPr>
            <w:tcW w:w="2694" w:type="dxa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仿宋"/>
                <w:sz w:val="32"/>
                <w:szCs w:val="32"/>
              </w:rPr>
            </w:pPr>
            <w:r>
              <w:rPr>
                <w:rFonts w:hint="eastAsia" w:eastAsia="仿宋"/>
                <w:sz w:val="32"/>
                <w:szCs w:val="32"/>
              </w:rPr>
              <w:t>青岛顺昌检测评价</w:t>
            </w:r>
          </w:p>
          <w:p>
            <w:pPr>
              <w:snapToGrid w:val="0"/>
              <w:spacing w:line="440" w:lineRule="exact"/>
              <w:jc w:val="center"/>
              <w:rPr>
                <w:rFonts w:eastAsia="仿宋"/>
                <w:sz w:val="32"/>
                <w:szCs w:val="32"/>
              </w:rPr>
            </w:pPr>
            <w:r>
              <w:rPr>
                <w:rFonts w:hint="eastAsia" w:eastAsia="仿宋"/>
                <w:sz w:val="32"/>
                <w:szCs w:val="32"/>
              </w:rPr>
              <w:t>有限公司</w:t>
            </w: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仿宋"/>
                <w:sz w:val="32"/>
                <w:szCs w:val="32"/>
              </w:rPr>
            </w:pPr>
            <w:r>
              <w:rPr>
                <w:rFonts w:hint="eastAsia" w:eastAsia="仿宋"/>
                <w:sz w:val="32"/>
                <w:szCs w:val="32"/>
              </w:rPr>
              <w:t>工程师</w:t>
            </w:r>
          </w:p>
        </w:tc>
        <w:tc>
          <w:tcPr>
            <w:tcW w:w="1701" w:type="dxa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仿宋"/>
                <w:sz w:val="32"/>
                <w:szCs w:val="32"/>
              </w:rPr>
            </w:pPr>
          </w:p>
        </w:tc>
      </w:tr>
    </w:tbl>
    <w:p>
      <w:pPr>
        <w:snapToGrid w:val="0"/>
        <w:spacing w:line="440" w:lineRule="exact"/>
        <w:jc w:val="center"/>
        <w:rPr>
          <w:rFonts w:eastAsia="仿宋"/>
          <w:sz w:val="32"/>
          <w:szCs w:val="32"/>
        </w:rPr>
      </w:pPr>
    </w:p>
    <w:p>
      <w:pPr>
        <w:snapToGrid w:val="0"/>
        <w:spacing w:line="440" w:lineRule="exact"/>
        <w:jc w:val="center"/>
        <w:rPr>
          <w:rFonts w:eastAsia="仿宋"/>
          <w:sz w:val="32"/>
          <w:szCs w:val="32"/>
        </w:rPr>
      </w:pPr>
      <w:r>
        <w:rPr>
          <w:rFonts w:hint="eastAsia" w:eastAsia="仿宋"/>
          <w:sz w:val="32"/>
          <w:szCs w:val="32"/>
        </w:rPr>
        <w:t xml:space="preserve">                         </w:t>
      </w:r>
      <w:bookmarkStart w:id="0" w:name="_GoBack"/>
      <w:bookmarkEnd w:id="0"/>
      <w:r>
        <w:rPr>
          <w:rFonts w:hint="eastAsia" w:eastAsia="仿宋"/>
          <w:sz w:val="32"/>
          <w:szCs w:val="32"/>
        </w:rPr>
        <w:t xml:space="preserve">  </w:t>
      </w:r>
      <w:r>
        <w:rPr>
          <w:rFonts w:eastAsia="仿宋"/>
          <w:sz w:val="32"/>
          <w:szCs w:val="32"/>
        </w:rPr>
        <w:t xml:space="preserve">  </w:t>
      </w:r>
      <w:r>
        <w:rPr>
          <w:rFonts w:hint="eastAsia" w:eastAsia="仿宋"/>
          <w:sz w:val="32"/>
          <w:szCs w:val="32"/>
        </w:rPr>
        <w:t>青岛</w:t>
      </w:r>
      <w:r>
        <w:rPr>
          <w:rFonts w:hint="eastAsia" w:eastAsia="仿宋"/>
          <w:sz w:val="32"/>
          <w:szCs w:val="32"/>
          <w:lang w:eastAsia="zh-CN"/>
        </w:rPr>
        <w:t>海花植物油</w:t>
      </w:r>
      <w:r>
        <w:rPr>
          <w:rFonts w:hint="eastAsia" w:eastAsia="仿宋"/>
          <w:sz w:val="32"/>
          <w:szCs w:val="32"/>
        </w:rPr>
        <w:t>有限公司</w:t>
      </w:r>
    </w:p>
    <w:p>
      <w:pPr>
        <w:snapToGrid w:val="0"/>
        <w:spacing w:line="560" w:lineRule="exact"/>
        <w:jc w:val="center"/>
        <w:rPr>
          <w:rFonts w:eastAsia="仿宋"/>
          <w:sz w:val="32"/>
          <w:szCs w:val="32"/>
        </w:rPr>
      </w:pPr>
      <w:r>
        <w:rPr>
          <w:rFonts w:hint="eastAsia" w:eastAsia="仿宋"/>
          <w:sz w:val="32"/>
          <w:szCs w:val="32"/>
        </w:rPr>
        <w:t xml:space="preserve">                                       2020年</w:t>
      </w:r>
      <w:r>
        <w:rPr>
          <w:rFonts w:hint="eastAsia" w:eastAsia="仿宋"/>
          <w:sz w:val="32"/>
          <w:szCs w:val="32"/>
          <w:lang w:val="en-US" w:eastAsia="zh-CN"/>
        </w:rPr>
        <w:t>8</w:t>
      </w:r>
      <w:r>
        <w:rPr>
          <w:rFonts w:hint="eastAsia" w:eastAsia="仿宋"/>
          <w:sz w:val="32"/>
          <w:szCs w:val="32"/>
        </w:rPr>
        <w:t>月</w:t>
      </w:r>
      <w:r>
        <w:rPr>
          <w:rFonts w:hint="eastAsia" w:eastAsia="仿宋"/>
          <w:sz w:val="32"/>
          <w:szCs w:val="32"/>
          <w:lang w:val="en-US" w:eastAsia="zh-CN"/>
        </w:rPr>
        <w:t>26</w:t>
      </w:r>
      <w:r>
        <w:rPr>
          <w:rFonts w:hint="eastAsia" w:eastAsia="仿宋"/>
          <w:sz w:val="32"/>
          <w:szCs w:val="32"/>
        </w:rPr>
        <w:t>日</w:t>
      </w:r>
    </w:p>
    <w:sectPr>
      <w:footerReference r:id="rId3" w:type="default"/>
      <w:type w:val="continuous"/>
      <w:pgSz w:w="11906" w:h="16838"/>
      <w:pgMar w:top="1440" w:right="1519" w:bottom="1440" w:left="1519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??">
    <w:altName w:val="Lucida Sans Unicode"/>
    <w:panose1 w:val="00000000000000000000"/>
    <w:charset w:val="B1"/>
    <w:family w:val="auto"/>
    <w:pitch w:val="default"/>
    <w:sig w:usb0="00000000" w:usb1="00000000" w:usb2="00000000" w:usb3="00000000" w:csb0="00000020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4</w:t>
    </w:r>
    <w:r>
      <w:rPr>
        <w:lang w:val="zh-CN"/>
      </w:rPr>
      <w:fldChar w:fldCharType="end"/>
    </w:r>
  </w:p>
  <w:p>
    <w:pPr>
      <w:pStyle w:val="1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C17C90"/>
    <w:rsid w:val="0001550E"/>
    <w:rsid w:val="0001597D"/>
    <w:rsid w:val="0001637F"/>
    <w:rsid w:val="00025555"/>
    <w:rsid w:val="000311E8"/>
    <w:rsid w:val="00031A80"/>
    <w:rsid w:val="000320A7"/>
    <w:rsid w:val="00034AEC"/>
    <w:rsid w:val="000432FF"/>
    <w:rsid w:val="000436F4"/>
    <w:rsid w:val="00047B5D"/>
    <w:rsid w:val="00060594"/>
    <w:rsid w:val="0006228F"/>
    <w:rsid w:val="00064F44"/>
    <w:rsid w:val="000726B0"/>
    <w:rsid w:val="0009078A"/>
    <w:rsid w:val="00091A26"/>
    <w:rsid w:val="00094AFF"/>
    <w:rsid w:val="000B52ED"/>
    <w:rsid w:val="000C054E"/>
    <w:rsid w:val="000D0BAE"/>
    <w:rsid w:val="000E2E14"/>
    <w:rsid w:val="000F2EA6"/>
    <w:rsid w:val="000F34B3"/>
    <w:rsid w:val="00102DEC"/>
    <w:rsid w:val="0010446F"/>
    <w:rsid w:val="00105CC7"/>
    <w:rsid w:val="00112A93"/>
    <w:rsid w:val="00112D81"/>
    <w:rsid w:val="00116F06"/>
    <w:rsid w:val="0012783F"/>
    <w:rsid w:val="00127D28"/>
    <w:rsid w:val="0013535F"/>
    <w:rsid w:val="00140AE1"/>
    <w:rsid w:val="00145BBE"/>
    <w:rsid w:val="00151BFC"/>
    <w:rsid w:val="00157D09"/>
    <w:rsid w:val="00161492"/>
    <w:rsid w:val="00163C53"/>
    <w:rsid w:val="00165B7F"/>
    <w:rsid w:val="00177C00"/>
    <w:rsid w:val="00180326"/>
    <w:rsid w:val="00181056"/>
    <w:rsid w:val="00181A16"/>
    <w:rsid w:val="001865FF"/>
    <w:rsid w:val="00190C3D"/>
    <w:rsid w:val="001A3A00"/>
    <w:rsid w:val="001B20AE"/>
    <w:rsid w:val="001B3B88"/>
    <w:rsid w:val="001B4BF3"/>
    <w:rsid w:val="001B794B"/>
    <w:rsid w:val="001C34AC"/>
    <w:rsid w:val="001D7459"/>
    <w:rsid w:val="001D7634"/>
    <w:rsid w:val="001E0C7A"/>
    <w:rsid w:val="001E0FFB"/>
    <w:rsid w:val="001E3062"/>
    <w:rsid w:val="001E615F"/>
    <w:rsid w:val="001F38A2"/>
    <w:rsid w:val="001F4DF1"/>
    <w:rsid w:val="0020083E"/>
    <w:rsid w:val="00203201"/>
    <w:rsid w:val="00224BD1"/>
    <w:rsid w:val="00230EB3"/>
    <w:rsid w:val="00237F33"/>
    <w:rsid w:val="00244416"/>
    <w:rsid w:val="00247A9A"/>
    <w:rsid w:val="002519AD"/>
    <w:rsid w:val="0025220F"/>
    <w:rsid w:val="00253665"/>
    <w:rsid w:val="00253709"/>
    <w:rsid w:val="00256294"/>
    <w:rsid w:val="00256D38"/>
    <w:rsid w:val="002579A3"/>
    <w:rsid w:val="00263547"/>
    <w:rsid w:val="00265F28"/>
    <w:rsid w:val="00266312"/>
    <w:rsid w:val="0027686C"/>
    <w:rsid w:val="00287553"/>
    <w:rsid w:val="0029596B"/>
    <w:rsid w:val="002967CC"/>
    <w:rsid w:val="002B0C70"/>
    <w:rsid w:val="002B15F1"/>
    <w:rsid w:val="002B1A05"/>
    <w:rsid w:val="002B1FE1"/>
    <w:rsid w:val="002C22B0"/>
    <w:rsid w:val="002C297D"/>
    <w:rsid w:val="002C41E6"/>
    <w:rsid w:val="002C4C63"/>
    <w:rsid w:val="002C4FFD"/>
    <w:rsid w:val="002D014C"/>
    <w:rsid w:val="002E45A2"/>
    <w:rsid w:val="002E7160"/>
    <w:rsid w:val="00305037"/>
    <w:rsid w:val="003065CB"/>
    <w:rsid w:val="00306690"/>
    <w:rsid w:val="003068B1"/>
    <w:rsid w:val="003075E0"/>
    <w:rsid w:val="00311315"/>
    <w:rsid w:val="00312603"/>
    <w:rsid w:val="003160EA"/>
    <w:rsid w:val="00320F12"/>
    <w:rsid w:val="00327915"/>
    <w:rsid w:val="00336407"/>
    <w:rsid w:val="0034345A"/>
    <w:rsid w:val="00346045"/>
    <w:rsid w:val="00347594"/>
    <w:rsid w:val="00352DD3"/>
    <w:rsid w:val="00360AFC"/>
    <w:rsid w:val="00365558"/>
    <w:rsid w:val="003764FA"/>
    <w:rsid w:val="0037740A"/>
    <w:rsid w:val="00384186"/>
    <w:rsid w:val="00391CA4"/>
    <w:rsid w:val="00391FF4"/>
    <w:rsid w:val="00395AA6"/>
    <w:rsid w:val="003B1BB9"/>
    <w:rsid w:val="003B39A6"/>
    <w:rsid w:val="003D0992"/>
    <w:rsid w:val="003D2858"/>
    <w:rsid w:val="003D31FA"/>
    <w:rsid w:val="003D3796"/>
    <w:rsid w:val="003D44F0"/>
    <w:rsid w:val="003D69B2"/>
    <w:rsid w:val="003D6F56"/>
    <w:rsid w:val="003D71D8"/>
    <w:rsid w:val="003E40D2"/>
    <w:rsid w:val="00400041"/>
    <w:rsid w:val="0041245F"/>
    <w:rsid w:val="0041761A"/>
    <w:rsid w:val="00421D93"/>
    <w:rsid w:val="0042374D"/>
    <w:rsid w:val="00423E81"/>
    <w:rsid w:val="00424554"/>
    <w:rsid w:val="00426A1E"/>
    <w:rsid w:val="004427E4"/>
    <w:rsid w:val="004431C1"/>
    <w:rsid w:val="00443F52"/>
    <w:rsid w:val="0044749C"/>
    <w:rsid w:val="00454A83"/>
    <w:rsid w:val="00456503"/>
    <w:rsid w:val="00457365"/>
    <w:rsid w:val="004607B0"/>
    <w:rsid w:val="00460C41"/>
    <w:rsid w:val="00466E41"/>
    <w:rsid w:val="00474490"/>
    <w:rsid w:val="0047470D"/>
    <w:rsid w:val="004763AB"/>
    <w:rsid w:val="0047736B"/>
    <w:rsid w:val="00480EB1"/>
    <w:rsid w:val="0048602A"/>
    <w:rsid w:val="00490434"/>
    <w:rsid w:val="00490C57"/>
    <w:rsid w:val="00494FC5"/>
    <w:rsid w:val="004975C4"/>
    <w:rsid w:val="004A1FD2"/>
    <w:rsid w:val="004A6CB3"/>
    <w:rsid w:val="004B009D"/>
    <w:rsid w:val="004D017F"/>
    <w:rsid w:val="004D40F1"/>
    <w:rsid w:val="004E770C"/>
    <w:rsid w:val="004F4734"/>
    <w:rsid w:val="00500DF7"/>
    <w:rsid w:val="005143DA"/>
    <w:rsid w:val="005160E6"/>
    <w:rsid w:val="005206C6"/>
    <w:rsid w:val="00520906"/>
    <w:rsid w:val="005339A3"/>
    <w:rsid w:val="0053680F"/>
    <w:rsid w:val="00541082"/>
    <w:rsid w:val="00550735"/>
    <w:rsid w:val="00552AA9"/>
    <w:rsid w:val="00552AE5"/>
    <w:rsid w:val="00557366"/>
    <w:rsid w:val="00566D30"/>
    <w:rsid w:val="005676D7"/>
    <w:rsid w:val="005745DA"/>
    <w:rsid w:val="00575C0E"/>
    <w:rsid w:val="005809AB"/>
    <w:rsid w:val="00582248"/>
    <w:rsid w:val="005836F9"/>
    <w:rsid w:val="0058464B"/>
    <w:rsid w:val="00592D7B"/>
    <w:rsid w:val="005A014B"/>
    <w:rsid w:val="005A2762"/>
    <w:rsid w:val="005A646E"/>
    <w:rsid w:val="005B0224"/>
    <w:rsid w:val="005B1D56"/>
    <w:rsid w:val="005B5ABC"/>
    <w:rsid w:val="005C41F2"/>
    <w:rsid w:val="005D28E5"/>
    <w:rsid w:val="005D74EF"/>
    <w:rsid w:val="005D7ABA"/>
    <w:rsid w:val="005E1AED"/>
    <w:rsid w:val="005E26D5"/>
    <w:rsid w:val="005E5543"/>
    <w:rsid w:val="005E76CD"/>
    <w:rsid w:val="005F5BD4"/>
    <w:rsid w:val="005F7E3F"/>
    <w:rsid w:val="00603DE7"/>
    <w:rsid w:val="00606323"/>
    <w:rsid w:val="00615E4F"/>
    <w:rsid w:val="00617CC6"/>
    <w:rsid w:val="00624F13"/>
    <w:rsid w:val="00626ACE"/>
    <w:rsid w:val="00627CE5"/>
    <w:rsid w:val="00636D4C"/>
    <w:rsid w:val="0064102B"/>
    <w:rsid w:val="00641469"/>
    <w:rsid w:val="00650168"/>
    <w:rsid w:val="006574C6"/>
    <w:rsid w:val="006576A1"/>
    <w:rsid w:val="006635A5"/>
    <w:rsid w:val="006663BC"/>
    <w:rsid w:val="00670535"/>
    <w:rsid w:val="00673289"/>
    <w:rsid w:val="0068111E"/>
    <w:rsid w:val="00686642"/>
    <w:rsid w:val="00690FB6"/>
    <w:rsid w:val="006A01ED"/>
    <w:rsid w:val="006C11D2"/>
    <w:rsid w:val="006C13B6"/>
    <w:rsid w:val="006C23D6"/>
    <w:rsid w:val="006C309A"/>
    <w:rsid w:val="006C72E0"/>
    <w:rsid w:val="006C7B4E"/>
    <w:rsid w:val="006D1F4C"/>
    <w:rsid w:val="006F19FA"/>
    <w:rsid w:val="006F55F6"/>
    <w:rsid w:val="006F5969"/>
    <w:rsid w:val="00700F0B"/>
    <w:rsid w:val="00706D6E"/>
    <w:rsid w:val="007107B8"/>
    <w:rsid w:val="00715460"/>
    <w:rsid w:val="00721A32"/>
    <w:rsid w:val="00723EEE"/>
    <w:rsid w:val="00733956"/>
    <w:rsid w:val="007367E5"/>
    <w:rsid w:val="00737DAB"/>
    <w:rsid w:val="0074339A"/>
    <w:rsid w:val="00747BD8"/>
    <w:rsid w:val="0075775D"/>
    <w:rsid w:val="00757AEE"/>
    <w:rsid w:val="007618AB"/>
    <w:rsid w:val="00763D0F"/>
    <w:rsid w:val="007666D4"/>
    <w:rsid w:val="00776CBF"/>
    <w:rsid w:val="00780D51"/>
    <w:rsid w:val="00783B6E"/>
    <w:rsid w:val="007854DD"/>
    <w:rsid w:val="00785D0E"/>
    <w:rsid w:val="00787D99"/>
    <w:rsid w:val="00791DE3"/>
    <w:rsid w:val="00792B57"/>
    <w:rsid w:val="00793625"/>
    <w:rsid w:val="007A2840"/>
    <w:rsid w:val="007A28C1"/>
    <w:rsid w:val="007A5141"/>
    <w:rsid w:val="007C063E"/>
    <w:rsid w:val="007C0B91"/>
    <w:rsid w:val="007D1079"/>
    <w:rsid w:val="007D4D63"/>
    <w:rsid w:val="007D7BC8"/>
    <w:rsid w:val="007E063B"/>
    <w:rsid w:val="007E3893"/>
    <w:rsid w:val="007F5443"/>
    <w:rsid w:val="00800EE8"/>
    <w:rsid w:val="008102E2"/>
    <w:rsid w:val="0081535F"/>
    <w:rsid w:val="008228D4"/>
    <w:rsid w:val="008229A6"/>
    <w:rsid w:val="00823DFB"/>
    <w:rsid w:val="00824389"/>
    <w:rsid w:val="00826E5E"/>
    <w:rsid w:val="0082762E"/>
    <w:rsid w:val="008352A8"/>
    <w:rsid w:val="00837D80"/>
    <w:rsid w:val="00855D99"/>
    <w:rsid w:val="00857724"/>
    <w:rsid w:val="00867276"/>
    <w:rsid w:val="008705A9"/>
    <w:rsid w:val="008746AB"/>
    <w:rsid w:val="00874C8A"/>
    <w:rsid w:val="00876923"/>
    <w:rsid w:val="00877706"/>
    <w:rsid w:val="00887D0F"/>
    <w:rsid w:val="00891462"/>
    <w:rsid w:val="008A26CC"/>
    <w:rsid w:val="008A72F3"/>
    <w:rsid w:val="008B109F"/>
    <w:rsid w:val="008B4E5D"/>
    <w:rsid w:val="008B68C7"/>
    <w:rsid w:val="008C1B7E"/>
    <w:rsid w:val="008C1CC9"/>
    <w:rsid w:val="008C6977"/>
    <w:rsid w:val="008E0B99"/>
    <w:rsid w:val="008E271E"/>
    <w:rsid w:val="008F2BC7"/>
    <w:rsid w:val="00902641"/>
    <w:rsid w:val="00903BFF"/>
    <w:rsid w:val="009103E3"/>
    <w:rsid w:val="0091099A"/>
    <w:rsid w:val="00916DA4"/>
    <w:rsid w:val="0091700B"/>
    <w:rsid w:val="0093031D"/>
    <w:rsid w:val="00930699"/>
    <w:rsid w:val="00934B3E"/>
    <w:rsid w:val="00935812"/>
    <w:rsid w:val="00953F9B"/>
    <w:rsid w:val="009548B8"/>
    <w:rsid w:val="009551C5"/>
    <w:rsid w:val="009619EA"/>
    <w:rsid w:val="00967D53"/>
    <w:rsid w:val="009837F6"/>
    <w:rsid w:val="009A20F5"/>
    <w:rsid w:val="009A237E"/>
    <w:rsid w:val="009A46E5"/>
    <w:rsid w:val="009B1139"/>
    <w:rsid w:val="009B1E2A"/>
    <w:rsid w:val="009C1BC3"/>
    <w:rsid w:val="009C24DE"/>
    <w:rsid w:val="009D360D"/>
    <w:rsid w:val="009D3910"/>
    <w:rsid w:val="009E0564"/>
    <w:rsid w:val="009E06BF"/>
    <w:rsid w:val="009E3E3D"/>
    <w:rsid w:val="009E746F"/>
    <w:rsid w:val="009F0E6F"/>
    <w:rsid w:val="009F5789"/>
    <w:rsid w:val="009F67FF"/>
    <w:rsid w:val="009F7DCC"/>
    <w:rsid w:val="00A023C3"/>
    <w:rsid w:val="00A10982"/>
    <w:rsid w:val="00A1626E"/>
    <w:rsid w:val="00A21832"/>
    <w:rsid w:val="00A36315"/>
    <w:rsid w:val="00A37EA6"/>
    <w:rsid w:val="00A40456"/>
    <w:rsid w:val="00A424B3"/>
    <w:rsid w:val="00A465DD"/>
    <w:rsid w:val="00A539F3"/>
    <w:rsid w:val="00A5462D"/>
    <w:rsid w:val="00A546E1"/>
    <w:rsid w:val="00A60350"/>
    <w:rsid w:val="00A627E3"/>
    <w:rsid w:val="00A634AD"/>
    <w:rsid w:val="00A64C22"/>
    <w:rsid w:val="00A65CC3"/>
    <w:rsid w:val="00A664CD"/>
    <w:rsid w:val="00A67898"/>
    <w:rsid w:val="00A701CB"/>
    <w:rsid w:val="00A705C3"/>
    <w:rsid w:val="00A72421"/>
    <w:rsid w:val="00A768E7"/>
    <w:rsid w:val="00A80A0D"/>
    <w:rsid w:val="00A955B0"/>
    <w:rsid w:val="00A97293"/>
    <w:rsid w:val="00A9755F"/>
    <w:rsid w:val="00A97984"/>
    <w:rsid w:val="00AA21D2"/>
    <w:rsid w:val="00AA647E"/>
    <w:rsid w:val="00AB05E0"/>
    <w:rsid w:val="00AB1185"/>
    <w:rsid w:val="00AB323B"/>
    <w:rsid w:val="00AC2A95"/>
    <w:rsid w:val="00AC3456"/>
    <w:rsid w:val="00AC40CA"/>
    <w:rsid w:val="00AD179D"/>
    <w:rsid w:val="00AD4CF2"/>
    <w:rsid w:val="00AD617C"/>
    <w:rsid w:val="00AE018C"/>
    <w:rsid w:val="00AF493A"/>
    <w:rsid w:val="00B01F31"/>
    <w:rsid w:val="00B046C6"/>
    <w:rsid w:val="00B13BB4"/>
    <w:rsid w:val="00B1562B"/>
    <w:rsid w:val="00B17893"/>
    <w:rsid w:val="00B219C0"/>
    <w:rsid w:val="00B22872"/>
    <w:rsid w:val="00B30F79"/>
    <w:rsid w:val="00B31605"/>
    <w:rsid w:val="00B34FC5"/>
    <w:rsid w:val="00B40312"/>
    <w:rsid w:val="00B41104"/>
    <w:rsid w:val="00B423FA"/>
    <w:rsid w:val="00B443C4"/>
    <w:rsid w:val="00B449A4"/>
    <w:rsid w:val="00B5172C"/>
    <w:rsid w:val="00B547F2"/>
    <w:rsid w:val="00B624EB"/>
    <w:rsid w:val="00B70A67"/>
    <w:rsid w:val="00B73AE9"/>
    <w:rsid w:val="00B807D8"/>
    <w:rsid w:val="00B86B5E"/>
    <w:rsid w:val="00B90F01"/>
    <w:rsid w:val="00B92CCA"/>
    <w:rsid w:val="00B93BD1"/>
    <w:rsid w:val="00B95B00"/>
    <w:rsid w:val="00BA3B43"/>
    <w:rsid w:val="00BA5DAA"/>
    <w:rsid w:val="00BA7494"/>
    <w:rsid w:val="00BA77AE"/>
    <w:rsid w:val="00BB739B"/>
    <w:rsid w:val="00BC314D"/>
    <w:rsid w:val="00BC68A2"/>
    <w:rsid w:val="00BD505D"/>
    <w:rsid w:val="00BD50FD"/>
    <w:rsid w:val="00BD58AB"/>
    <w:rsid w:val="00BD774E"/>
    <w:rsid w:val="00BE298D"/>
    <w:rsid w:val="00BF1429"/>
    <w:rsid w:val="00BF3D30"/>
    <w:rsid w:val="00BF51BE"/>
    <w:rsid w:val="00C055A7"/>
    <w:rsid w:val="00C06F48"/>
    <w:rsid w:val="00C136E3"/>
    <w:rsid w:val="00C16312"/>
    <w:rsid w:val="00C17C90"/>
    <w:rsid w:val="00C2364E"/>
    <w:rsid w:val="00C23B68"/>
    <w:rsid w:val="00C33EC7"/>
    <w:rsid w:val="00C34AA3"/>
    <w:rsid w:val="00C37062"/>
    <w:rsid w:val="00C43097"/>
    <w:rsid w:val="00C44455"/>
    <w:rsid w:val="00C4640E"/>
    <w:rsid w:val="00C46429"/>
    <w:rsid w:val="00C50C13"/>
    <w:rsid w:val="00C51B74"/>
    <w:rsid w:val="00C54699"/>
    <w:rsid w:val="00C548A2"/>
    <w:rsid w:val="00C80D38"/>
    <w:rsid w:val="00C84813"/>
    <w:rsid w:val="00C86E25"/>
    <w:rsid w:val="00C9092E"/>
    <w:rsid w:val="00C957B0"/>
    <w:rsid w:val="00C96B8E"/>
    <w:rsid w:val="00C96E9D"/>
    <w:rsid w:val="00CB75D7"/>
    <w:rsid w:val="00CB7D28"/>
    <w:rsid w:val="00CB7DB4"/>
    <w:rsid w:val="00CC1208"/>
    <w:rsid w:val="00CD0400"/>
    <w:rsid w:val="00CD6505"/>
    <w:rsid w:val="00CD6D10"/>
    <w:rsid w:val="00CE29BF"/>
    <w:rsid w:val="00CE4773"/>
    <w:rsid w:val="00CF2092"/>
    <w:rsid w:val="00D0110D"/>
    <w:rsid w:val="00D132A0"/>
    <w:rsid w:val="00D255D8"/>
    <w:rsid w:val="00D26BA2"/>
    <w:rsid w:val="00D274D6"/>
    <w:rsid w:val="00D3260A"/>
    <w:rsid w:val="00D32FE5"/>
    <w:rsid w:val="00D36D48"/>
    <w:rsid w:val="00D3743C"/>
    <w:rsid w:val="00D41301"/>
    <w:rsid w:val="00D45583"/>
    <w:rsid w:val="00D45F6A"/>
    <w:rsid w:val="00D4633C"/>
    <w:rsid w:val="00D52B6C"/>
    <w:rsid w:val="00D57BFB"/>
    <w:rsid w:val="00D73294"/>
    <w:rsid w:val="00D83302"/>
    <w:rsid w:val="00D879F7"/>
    <w:rsid w:val="00D90DA2"/>
    <w:rsid w:val="00D944FE"/>
    <w:rsid w:val="00DA1C6B"/>
    <w:rsid w:val="00DB1D2E"/>
    <w:rsid w:val="00DB3EE9"/>
    <w:rsid w:val="00DC3016"/>
    <w:rsid w:val="00DD274E"/>
    <w:rsid w:val="00DD423F"/>
    <w:rsid w:val="00DD46AD"/>
    <w:rsid w:val="00DE098D"/>
    <w:rsid w:val="00E022BB"/>
    <w:rsid w:val="00E036EB"/>
    <w:rsid w:val="00E10BA2"/>
    <w:rsid w:val="00E13F5F"/>
    <w:rsid w:val="00E140FA"/>
    <w:rsid w:val="00E15141"/>
    <w:rsid w:val="00E205E3"/>
    <w:rsid w:val="00E23A9D"/>
    <w:rsid w:val="00E3225B"/>
    <w:rsid w:val="00E400DA"/>
    <w:rsid w:val="00E40989"/>
    <w:rsid w:val="00E43DF2"/>
    <w:rsid w:val="00E44EA8"/>
    <w:rsid w:val="00E55AB3"/>
    <w:rsid w:val="00E57AF7"/>
    <w:rsid w:val="00E62010"/>
    <w:rsid w:val="00E6461D"/>
    <w:rsid w:val="00E70437"/>
    <w:rsid w:val="00E73AE4"/>
    <w:rsid w:val="00E84345"/>
    <w:rsid w:val="00E8479E"/>
    <w:rsid w:val="00E911FF"/>
    <w:rsid w:val="00E91952"/>
    <w:rsid w:val="00E96531"/>
    <w:rsid w:val="00EA0001"/>
    <w:rsid w:val="00EA30A1"/>
    <w:rsid w:val="00EA3149"/>
    <w:rsid w:val="00EA7AF2"/>
    <w:rsid w:val="00EB1152"/>
    <w:rsid w:val="00EB2C93"/>
    <w:rsid w:val="00EC5746"/>
    <w:rsid w:val="00ED31CC"/>
    <w:rsid w:val="00ED6006"/>
    <w:rsid w:val="00ED6622"/>
    <w:rsid w:val="00EE0CAE"/>
    <w:rsid w:val="00EE6129"/>
    <w:rsid w:val="00EF6F75"/>
    <w:rsid w:val="00EF7013"/>
    <w:rsid w:val="00EF72D5"/>
    <w:rsid w:val="00EF74A0"/>
    <w:rsid w:val="00F0183C"/>
    <w:rsid w:val="00F02479"/>
    <w:rsid w:val="00F102D6"/>
    <w:rsid w:val="00F126A4"/>
    <w:rsid w:val="00F2037A"/>
    <w:rsid w:val="00F27167"/>
    <w:rsid w:val="00F27F7C"/>
    <w:rsid w:val="00F31031"/>
    <w:rsid w:val="00F319BF"/>
    <w:rsid w:val="00F3407B"/>
    <w:rsid w:val="00F37129"/>
    <w:rsid w:val="00F46042"/>
    <w:rsid w:val="00F478F1"/>
    <w:rsid w:val="00F53C98"/>
    <w:rsid w:val="00F5519C"/>
    <w:rsid w:val="00F57649"/>
    <w:rsid w:val="00F603F4"/>
    <w:rsid w:val="00F64AB8"/>
    <w:rsid w:val="00F66DE5"/>
    <w:rsid w:val="00F74009"/>
    <w:rsid w:val="00F741FE"/>
    <w:rsid w:val="00F76085"/>
    <w:rsid w:val="00F832CF"/>
    <w:rsid w:val="00F836CA"/>
    <w:rsid w:val="00F84708"/>
    <w:rsid w:val="00F97D6B"/>
    <w:rsid w:val="00FA20D7"/>
    <w:rsid w:val="00FA31F4"/>
    <w:rsid w:val="00FA6DE3"/>
    <w:rsid w:val="00FB6072"/>
    <w:rsid w:val="00FB63EB"/>
    <w:rsid w:val="00FB704C"/>
    <w:rsid w:val="00FB74FB"/>
    <w:rsid w:val="00FC4285"/>
    <w:rsid w:val="00FC58FB"/>
    <w:rsid w:val="00FD2A81"/>
    <w:rsid w:val="00FD2DC5"/>
    <w:rsid w:val="00FD628D"/>
    <w:rsid w:val="00FD70C4"/>
    <w:rsid w:val="00FD7583"/>
    <w:rsid w:val="00FE05B8"/>
    <w:rsid w:val="00FE3321"/>
    <w:rsid w:val="00FE6226"/>
    <w:rsid w:val="00FE6B7E"/>
    <w:rsid w:val="00FF00A2"/>
    <w:rsid w:val="00FF6371"/>
    <w:rsid w:val="00FF72C8"/>
    <w:rsid w:val="06FA0575"/>
    <w:rsid w:val="0A9342FA"/>
    <w:rsid w:val="112449B1"/>
    <w:rsid w:val="1D9650FE"/>
    <w:rsid w:val="222F3D44"/>
    <w:rsid w:val="24556B6B"/>
    <w:rsid w:val="306E0E83"/>
    <w:rsid w:val="35D9399B"/>
    <w:rsid w:val="38E350E4"/>
    <w:rsid w:val="421A7B18"/>
    <w:rsid w:val="44564528"/>
    <w:rsid w:val="4C261438"/>
    <w:rsid w:val="4C3A709C"/>
    <w:rsid w:val="4D2A5E5B"/>
    <w:rsid w:val="50E9425C"/>
    <w:rsid w:val="51856401"/>
    <w:rsid w:val="543A3D9D"/>
    <w:rsid w:val="562A6DFA"/>
    <w:rsid w:val="613E75D8"/>
    <w:rsid w:val="66823074"/>
    <w:rsid w:val="71894C20"/>
    <w:rsid w:val="76113AD0"/>
    <w:rsid w:val="7D966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qFormat="1" w:unhideWhenUsed="0" w:uiPriority="99" w:semiHidden="0" w:name="toc 1"/>
    <w:lsdException w:qFormat="1" w:unhideWhenUsed="0" w:uiPriority="99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99" w:semiHidden="0" w:name="Normal Indent"/>
    <w:lsdException w:uiPriority="0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99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99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99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qFormat="1" w:uiPriority="99" w:semiHidden="0" w:name="Date"/>
    <w:lsdException w:qFormat="1" w:unhideWhenUsed="0" w:uiPriority="99" w:semiHidden="0" w:name="Body Text First Indent"/>
    <w:lsdException w:qFormat="1" w:unhideWhenUsed="0" w:uiPriority="99" w:semiHidden="0" w:name="Body Text First Indent 2"/>
    <w:lsdException w:uiPriority="0" w:name="Note Heading"/>
    <w:lsdException w:uiPriority="0" w:name="Body Text 2"/>
    <w:lsdException w:uiPriority="0" w:name="Body Text 3"/>
    <w:lsdException w:qFormat="1" w:unhideWhenUsed="0" w:uiPriority="99" w:semiHidden="0" w:name="Body Text Indent 2"/>
    <w:lsdException w:uiPriority="0" w:name="Body Text Indent 3"/>
    <w:lsdException w:uiPriority="0" w:name="Block Text"/>
    <w:lsdException w:qFormat="1" w:unhideWhenUsed="0" w:uiPriority="99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semiHidden="0" w:name="Document Map"/>
    <w:lsdException w:qFormat="1" w:unhideWhenUsed="0" w:uiPriority="0" w:semiHidden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9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nhideWhenUsed="0" w:uiPriority="9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qFormat="1" w:unhideWhenUsed="0" w:uiPriority="9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qFormat="1" w:unhideWhenUsed="0" w:uiPriority="9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qFormat="1" w:unhideWhenUsed="0" w:uiPriority="9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qFormat="1" w:unhideWhenUsed="0" w:uiPriority="9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qFormat="1" w:unhideWhenUsed="0" w:uiPriority="9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link w:val="52"/>
    <w:qFormat/>
    <w:uiPriority w:val="99"/>
    <w:pPr>
      <w:keepNext/>
      <w:outlineLvl w:val="0"/>
    </w:pPr>
    <w:rPr>
      <w:sz w:val="28"/>
      <w:szCs w:val="20"/>
    </w:rPr>
  </w:style>
  <w:style w:type="paragraph" w:styleId="5">
    <w:name w:val="heading 2"/>
    <w:basedOn w:val="1"/>
    <w:next w:val="1"/>
    <w:link w:val="53"/>
    <w:qFormat/>
    <w:uiPriority w:val="99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sz w:val="32"/>
      <w:szCs w:val="32"/>
    </w:rPr>
  </w:style>
  <w:style w:type="character" w:default="1" w:styleId="27">
    <w:name w:val="Default Paragraph Font"/>
    <w:semiHidden/>
    <w:unhideWhenUsed/>
    <w:qFormat/>
    <w:uiPriority w:val="1"/>
  </w:style>
  <w:style w:type="table" w:default="1" w:styleId="1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link w:val="55"/>
    <w:qFormat/>
    <w:uiPriority w:val="99"/>
    <w:pPr>
      <w:spacing w:after="120" w:line="240" w:lineRule="auto"/>
      <w:ind w:left="420" w:leftChars="200"/>
    </w:pPr>
    <w:rPr>
      <w:sz w:val="21"/>
    </w:rPr>
  </w:style>
  <w:style w:type="paragraph" w:styleId="3">
    <w:name w:val="Body Text Indent"/>
    <w:basedOn w:val="1"/>
    <w:link w:val="54"/>
    <w:qFormat/>
    <w:uiPriority w:val="99"/>
    <w:pPr>
      <w:spacing w:line="400" w:lineRule="atLeast"/>
      <w:ind w:firstLine="420"/>
    </w:pPr>
    <w:rPr>
      <w:kern w:val="0"/>
      <w:sz w:val="20"/>
    </w:rPr>
  </w:style>
  <w:style w:type="paragraph" w:styleId="6">
    <w:name w:val="Normal Indent"/>
    <w:basedOn w:val="1"/>
    <w:qFormat/>
    <w:uiPriority w:val="99"/>
    <w:pPr>
      <w:ind w:firstLine="420" w:firstLineChars="200"/>
    </w:pPr>
    <w:rPr>
      <w:kern w:val="0"/>
      <w:sz w:val="24"/>
      <w:szCs w:val="20"/>
    </w:rPr>
  </w:style>
  <w:style w:type="paragraph" w:styleId="7">
    <w:name w:val="Document Map"/>
    <w:basedOn w:val="1"/>
    <w:link w:val="62"/>
    <w:unhideWhenUsed/>
    <w:qFormat/>
    <w:uiPriority w:val="99"/>
    <w:rPr>
      <w:rFonts w:ascii="宋体"/>
      <w:sz w:val="18"/>
      <w:szCs w:val="18"/>
    </w:rPr>
  </w:style>
  <w:style w:type="paragraph" w:styleId="8">
    <w:name w:val="annotation text"/>
    <w:basedOn w:val="1"/>
    <w:qFormat/>
    <w:uiPriority w:val="99"/>
    <w:pPr>
      <w:jc w:val="left"/>
    </w:pPr>
  </w:style>
  <w:style w:type="paragraph" w:styleId="9">
    <w:name w:val="Body Text"/>
    <w:basedOn w:val="1"/>
    <w:link w:val="56"/>
    <w:qFormat/>
    <w:uiPriority w:val="99"/>
    <w:pPr>
      <w:spacing w:after="120"/>
    </w:pPr>
  </w:style>
  <w:style w:type="paragraph" w:styleId="10">
    <w:name w:val="Plain Text"/>
    <w:basedOn w:val="1"/>
    <w:link w:val="63"/>
    <w:qFormat/>
    <w:uiPriority w:val="0"/>
    <w:rPr>
      <w:rFonts w:ascii="宋体" w:hAnsi="Courier New"/>
      <w:szCs w:val="21"/>
    </w:rPr>
  </w:style>
  <w:style w:type="paragraph" w:styleId="11">
    <w:name w:val="Date"/>
    <w:basedOn w:val="1"/>
    <w:next w:val="1"/>
    <w:link w:val="61"/>
    <w:unhideWhenUsed/>
    <w:qFormat/>
    <w:uiPriority w:val="99"/>
    <w:pPr>
      <w:ind w:left="100" w:leftChars="2500"/>
    </w:pPr>
  </w:style>
  <w:style w:type="paragraph" w:styleId="12">
    <w:name w:val="Body Text Indent 2"/>
    <w:basedOn w:val="1"/>
    <w:link w:val="64"/>
    <w:qFormat/>
    <w:uiPriority w:val="99"/>
    <w:pPr>
      <w:spacing w:after="120" w:line="480" w:lineRule="auto"/>
      <w:ind w:left="420" w:leftChars="200"/>
    </w:pPr>
    <w:rPr>
      <w:sz w:val="24"/>
    </w:rPr>
  </w:style>
  <w:style w:type="paragraph" w:styleId="13">
    <w:name w:val="footer"/>
    <w:basedOn w:val="1"/>
    <w:link w:val="58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cs="??"/>
      <w:sz w:val="18"/>
      <w:szCs w:val="18"/>
    </w:rPr>
  </w:style>
  <w:style w:type="paragraph" w:styleId="14">
    <w:name w:val="header"/>
    <w:basedOn w:val="1"/>
    <w:link w:val="5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??"/>
      <w:sz w:val="18"/>
      <w:szCs w:val="18"/>
    </w:rPr>
  </w:style>
  <w:style w:type="paragraph" w:styleId="15">
    <w:name w:val="toc 1"/>
    <w:basedOn w:val="1"/>
    <w:next w:val="1"/>
    <w:qFormat/>
    <w:uiPriority w:val="99"/>
    <w:pPr>
      <w:spacing w:before="120" w:after="120"/>
      <w:jc w:val="left"/>
    </w:pPr>
    <w:rPr>
      <w:b/>
      <w:caps/>
      <w:sz w:val="20"/>
      <w:szCs w:val="20"/>
    </w:rPr>
  </w:style>
  <w:style w:type="paragraph" w:styleId="16">
    <w:name w:val="toc 2"/>
    <w:basedOn w:val="1"/>
    <w:next w:val="1"/>
    <w:qFormat/>
    <w:uiPriority w:val="99"/>
    <w:pPr>
      <w:ind w:left="420" w:leftChars="200"/>
    </w:pPr>
  </w:style>
  <w:style w:type="paragraph" w:styleId="17">
    <w:name w:val="Title"/>
    <w:basedOn w:val="1"/>
    <w:link w:val="60"/>
    <w:qFormat/>
    <w:uiPriority w:val="99"/>
    <w:pPr>
      <w:jc w:val="center"/>
    </w:pPr>
    <w:rPr>
      <w:rFonts w:ascii="方正小标宋简体" w:eastAsia="方正小标宋简体"/>
      <w:sz w:val="36"/>
      <w:szCs w:val="36"/>
    </w:rPr>
  </w:style>
  <w:style w:type="paragraph" w:styleId="18">
    <w:name w:val="Body Text First Indent"/>
    <w:basedOn w:val="9"/>
    <w:link w:val="57"/>
    <w:qFormat/>
    <w:uiPriority w:val="99"/>
    <w:pPr>
      <w:ind w:firstLine="420" w:firstLineChars="100"/>
    </w:pPr>
  </w:style>
  <w:style w:type="table" w:styleId="20">
    <w:name w:val="Table Grid"/>
    <w:basedOn w:val="19"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21">
    <w:name w:val="Medium Grid 3 Accent 1"/>
    <w:basedOn w:val="19"/>
    <w:qFormat/>
    <w:uiPriority w:val="9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/>
    </w:tcPr>
    <w:tblStylePr w:type="firstRow">
      <w:rPr>
        <w:rFonts w:cs="??"/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nil"/>
          <w:tl2br w:val="nil"/>
          <w:tr2bl w:val="nil"/>
        </w:tcBorders>
        <w:shd w:val="clear" w:color="auto" w:fill="4F81BD"/>
      </w:tcPr>
    </w:tblStylePr>
    <w:tblStylePr w:type="lastRow">
      <w:rPr>
        <w:rFonts w:cs="??"/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  <w:tl2br w:val="nil"/>
          <w:tr2bl w:val="nil"/>
        </w:tcBorders>
        <w:shd w:val="clear" w:color="auto" w:fill="4F81BD"/>
      </w:tcPr>
    </w:tblStylePr>
    <w:tblStylePr w:type="firstCol">
      <w:rPr>
        <w:rFonts w:cs="??"/>
        <w:b/>
        <w:bCs/>
        <w:i w:val="0"/>
        <w:iCs w:val="0"/>
        <w:color w:val="CCE8CF"/>
      </w:rPr>
      <w:tblPr/>
      <w:tcPr>
        <w:tcBorders>
          <w:top w:val="nil"/>
          <w:left w:val="single" w:color="CCE8CF" w:sz="8" w:space="0"/>
          <w:bottom w:val="nil"/>
          <w:right w:val="single" w:color="CCE8CF" w:sz="24" w:space="0"/>
          <w:insideH w:val="nil"/>
          <w:insideV w:val="nil"/>
          <w:tl2br w:val="nil"/>
          <w:tr2bl w:val="nil"/>
        </w:tcBorders>
        <w:shd w:val="clear" w:color="auto" w:fill="4F81BD"/>
      </w:tcPr>
    </w:tblStylePr>
    <w:tblStylePr w:type="lastCol">
      <w:rPr>
        <w:rFonts w:cs="??"/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4F81BD"/>
      </w:tcPr>
    </w:tblStylePr>
    <w:tblStylePr w:type="band1Vert">
      <w:rPr>
        <w:rFonts w:cs="??"/>
      </w:rPr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  <w:tl2br w:val="nil"/>
          <w:tr2bl w:val="nil"/>
        </w:tcBorders>
        <w:shd w:val="clear" w:color="auto" w:fill="A7BFDE"/>
      </w:tcPr>
    </w:tblStylePr>
    <w:tblStylePr w:type="band1Horz">
      <w:rPr>
        <w:rFonts w:cs="??"/>
      </w:rPr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  <w:tl2br w:val="nil"/>
          <w:tr2bl w:val="nil"/>
        </w:tcBorders>
        <w:shd w:val="clear" w:color="auto" w:fill="A7BFDE"/>
      </w:tcPr>
    </w:tblStylePr>
  </w:style>
  <w:style w:type="table" w:styleId="22">
    <w:name w:val="Medium Grid 3 Accent 2"/>
    <w:basedOn w:val="19"/>
    <w:qFormat/>
    <w:uiPriority w:val="9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/>
    </w:tcPr>
    <w:tblStylePr w:type="firstRow">
      <w:rPr>
        <w:rFonts w:cs="??"/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nil"/>
          <w:tl2br w:val="nil"/>
          <w:tr2bl w:val="nil"/>
        </w:tcBorders>
        <w:shd w:val="clear" w:color="auto" w:fill="C0504D"/>
      </w:tcPr>
    </w:tblStylePr>
    <w:tblStylePr w:type="lastRow">
      <w:rPr>
        <w:rFonts w:cs="??"/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  <w:tl2br w:val="nil"/>
          <w:tr2bl w:val="nil"/>
        </w:tcBorders>
        <w:shd w:val="clear" w:color="auto" w:fill="C0504D"/>
      </w:tcPr>
    </w:tblStylePr>
    <w:tblStylePr w:type="firstCol">
      <w:rPr>
        <w:rFonts w:cs="??"/>
        <w:b/>
        <w:bCs/>
        <w:i w:val="0"/>
        <w:iCs w:val="0"/>
        <w:color w:val="CCE8CF"/>
      </w:rPr>
      <w:tblPr/>
      <w:tcPr>
        <w:tcBorders>
          <w:top w:val="nil"/>
          <w:left w:val="single" w:color="CCE8CF" w:sz="8" w:space="0"/>
          <w:bottom w:val="nil"/>
          <w:right w:val="single" w:color="CCE8CF" w:sz="24" w:space="0"/>
          <w:insideH w:val="nil"/>
          <w:insideV w:val="nil"/>
          <w:tl2br w:val="nil"/>
          <w:tr2bl w:val="nil"/>
        </w:tcBorders>
        <w:shd w:val="clear" w:color="auto" w:fill="C0504D"/>
      </w:tcPr>
    </w:tblStylePr>
    <w:tblStylePr w:type="lastCol">
      <w:rPr>
        <w:rFonts w:cs="??"/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C0504D"/>
      </w:tcPr>
    </w:tblStylePr>
    <w:tblStylePr w:type="band1Vert">
      <w:rPr>
        <w:rFonts w:cs="??"/>
      </w:rPr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  <w:tl2br w:val="nil"/>
          <w:tr2bl w:val="nil"/>
        </w:tcBorders>
        <w:shd w:val="clear" w:color="auto" w:fill="DFA7A6"/>
      </w:tcPr>
    </w:tblStylePr>
    <w:tblStylePr w:type="band1Horz">
      <w:rPr>
        <w:rFonts w:cs="??"/>
      </w:rPr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  <w:tl2br w:val="nil"/>
          <w:tr2bl w:val="nil"/>
        </w:tcBorders>
        <w:shd w:val="clear" w:color="auto" w:fill="DFA7A6"/>
      </w:tcPr>
    </w:tblStylePr>
  </w:style>
  <w:style w:type="table" w:styleId="23">
    <w:name w:val="Medium Grid 3 Accent 3"/>
    <w:basedOn w:val="19"/>
    <w:qFormat/>
    <w:uiPriority w:val="9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/>
    </w:tcPr>
    <w:tblStylePr w:type="firstRow">
      <w:rPr>
        <w:rFonts w:cs="??"/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nil"/>
          <w:tl2br w:val="nil"/>
          <w:tr2bl w:val="nil"/>
        </w:tcBorders>
        <w:shd w:val="clear" w:color="auto" w:fill="9BBB59"/>
      </w:tcPr>
    </w:tblStylePr>
    <w:tblStylePr w:type="lastRow">
      <w:rPr>
        <w:rFonts w:cs="??"/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  <w:tl2br w:val="nil"/>
          <w:tr2bl w:val="nil"/>
        </w:tcBorders>
        <w:shd w:val="clear" w:color="auto" w:fill="9BBB59"/>
      </w:tcPr>
    </w:tblStylePr>
    <w:tblStylePr w:type="firstCol">
      <w:rPr>
        <w:rFonts w:cs="??"/>
        <w:b/>
        <w:bCs/>
        <w:i w:val="0"/>
        <w:iCs w:val="0"/>
        <w:color w:val="CCE8CF"/>
      </w:rPr>
      <w:tblPr/>
      <w:tcPr>
        <w:tcBorders>
          <w:top w:val="nil"/>
          <w:left w:val="single" w:color="CCE8CF" w:sz="8" w:space="0"/>
          <w:bottom w:val="nil"/>
          <w:right w:val="single" w:color="CCE8CF" w:sz="24" w:space="0"/>
          <w:insideH w:val="nil"/>
          <w:insideV w:val="nil"/>
          <w:tl2br w:val="nil"/>
          <w:tr2bl w:val="nil"/>
        </w:tcBorders>
        <w:shd w:val="clear" w:color="auto" w:fill="9BBB59"/>
      </w:tcPr>
    </w:tblStylePr>
    <w:tblStylePr w:type="lastCol">
      <w:rPr>
        <w:rFonts w:cs="??"/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9BBB59"/>
      </w:tcPr>
    </w:tblStylePr>
    <w:tblStylePr w:type="band1Vert">
      <w:rPr>
        <w:rFonts w:cs="??"/>
      </w:rPr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  <w:tl2br w:val="nil"/>
          <w:tr2bl w:val="nil"/>
        </w:tcBorders>
        <w:shd w:val="clear" w:color="auto" w:fill="CDDDAC"/>
      </w:tcPr>
    </w:tblStylePr>
    <w:tblStylePr w:type="band1Horz">
      <w:rPr>
        <w:rFonts w:cs="??"/>
      </w:rPr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  <w:tl2br w:val="nil"/>
          <w:tr2bl w:val="nil"/>
        </w:tcBorders>
        <w:shd w:val="clear" w:color="auto" w:fill="CDDDAC"/>
      </w:tcPr>
    </w:tblStylePr>
  </w:style>
  <w:style w:type="table" w:styleId="24">
    <w:name w:val="Medium Grid 3 Accent 4"/>
    <w:basedOn w:val="19"/>
    <w:qFormat/>
    <w:uiPriority w:val="9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/>
    </w:tcPr>
    <w:tblStylePr w:type="firstRow">
      <w:rPr>
        <w:rFonts w:cs="??"/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nil"/>
          <w:tl2br w:val="nil"/>
          <w:tr2bl w:val="nil"/>
        </w:tcBorders>
        <w:shd w:val="clear" w:color="auto" w:fill="8064A2"/>
      </w:tcPr>
    </w:tblStylePr>
    <w:tblStylePr w:type="lastRow">
      <w:rPr>
        <w:rFonts w:cs="??"/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  <w:tl2br w:val="nil"/>
          <w:tr2bl w:val="nil"/>
        </w:tcBorders>
        <w:shd w:val="clear" w:color="auto" w:fill="8064A2"/>
      </w:tcPr>
    </w:tblStylePr>
    <w:tblStylePr w:type="firstCol">
      <w:rPr>
        <w:rFonts w:cs="??"/>
        <w:b/>
        <w:bCs/>
        <w:i w:val="0"/>
        <w:iCs w:val="0"/>
        <w:color w:val="CCE8CF"/>
      </w:rPr>
      <w:tblPr/>
      <w:tcPr>
        <w:tcBorders>
          <w:top w:val="nil"/>
          <w:left w:val="single" w:color="CCE8CF" w:sz="8" w:space="0"/>
          <w:bottom w:val="nil"/>
          <w:right w:val="single" w:color="CCE8CF" w:sz="24" w:space="0"/>
          <w:insideH w:val="nil"/>
          <w:insideV w:val="nil"/>
          <w:tl2br w:val="nil"/>
          <w:tr2bl w:val="nil"/>
        </w:tcBorders>
        <w:shd w:val="clear" w:color="auto" w:fill="8064A2"/>
      </w:tcPr>
    </w:tblStylePr>
    <w:tblStylePr w:type="lastCol">
      <w:rPr>
        <w:rFonts w:cs="??"/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8064A2"/>
      </w:tcPr>
    </w:tblStylePr>
    <w:tblStylePr w:type="band1Vert">
      <w:rPr>
        <w:rFonts w:cs="??"/>
      </w:rPr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  <w:tl2br w:val="nil"/>
          <w:tr2bl w:val="nil"/>
        </w:tcBorders>
        <w:shd w:val="clear" w:color="auto" w:fill="BFB1D0"/>
      </w:tcPr>
    </w:tblStylePr>
    <w:tblStylePr w:type="band1Horz">
      <w:rPr>
        <w:rFonts w:cs="??"/>
      </w:rPr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  <w:tl2br w:val="nil"/>
          <w:tr2bl w:val="nil"/>
        </w:tcBorders>
        <w:shd w:val="clear" w:color="auto" w:fill="BFB1D0"/>
      </w:tcPr>
    </w:tblStylePr>
  </w:style>
  <w:style w:type="table" w:styleId="25">
    <w:name w:val="Medium Grid 3 Accent 5"/>
    <w:basedOn w:val="19"/>
    <w:qFormat/>
    <w:uiPriority w:val="9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/>
    </w:tcPr>
    <w:tblStylePr w:type="firstRow">
      <w:rPr>
        <w:rFonts w:cs="??"/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nil"/>
          <w:tl2br w:val="nil"/>
          <w:tr2bl w:val="nil"/>
        </w:tcBorders>
        <w:shd w:val="clear" w:color="auto" w:fill="4BACC6"/>
      </w:tcPr>
    </w:tblStylePr>
    <w:tblStylePr w:type="lastRow">
      <w:rPr>
        <w:rFonts w:cs="??"/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  <w:tl2br w:val="nil"/>
          <w:tr2bl w:val="nil"/>
        </w:tcBorders>
        <w:shd w:val="clear" w:color="auto" w:fill="4BACC6"/>
      </w:tcPr>
    </w:tblStylePr>
    <w:tblStylePr w:type="firstCol">
      <w:rPr>
        <w:rFonts w:cs="??"/>
        <w:b/>
        <w:bCs/>
        <w:i w:val="0"/>
        <w:iCs w:val="0"/>
        <w:color w:val="CCE8CF"/>
      </w:rPr>
      <w:tblPr/>
      <w:tcPr>
        <w:tcBorders>
          <w:top w:val="nil"/>
          <w:left w:val="single" w:color="CCE8CF" w:sz="8" w:space="0"/>
          <w:bottom w:val="nil"/>
          <w:right w:val="single" w:color="CCE8CF" w:sz="24" w:space="0"/>
          <w:insideH w:val="nil"/>
          <w:insideV w:val="nil"/>
          <w:tl2br w:val="nil"/>
          <w:tr2bl w:val="nil"/>
        </w:tcBorders>
        <w:shd w:val="clear" w:color="auto" w:fill="4BACC6"/>
      </w:tcPr>
    </w:tblStylePr>
    <w:tblStylePr w:type="lastCol">
      <w:rPr>
        <w:rFonts w:cs="??"/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4BACC6"/>
      </w:tcPr>
    </w:tblStylePr>
    <w:tblStylePr w:type="band1Vert">
      <w:rPr>
        <w:rFonts w:cs="??"/>
      </w:rPr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  <w:tl2br w:val="nil"/>
          <w:tr2bl w:val="nil"/>
        </w:tcBorders>
        <w:shd w:val="clear" w:color="auto" w:fill="A5D5E2"/>
      </w:tcPr>
    </w:tblStylePr>
    <w:tblStylePr w:type="band1Horz">
      <w:rPr>
        <w:rFonts w:cs="??"/>
      </w:rPr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  <w:tl2br w:val="nil"/>
          <w:tr2bl w:val="nil"/>
        </w:tcBorders>
        <w:shd w:val="clear" w:color="auto" w:fill="A5D5E2"/>
      </w:tcPr>
    </w:tblStylePr>
  </w:style>
  <w:style w:type="table" w:styleId="26">
    <w:name w:val="Medium Grid 3 Accent 6"/>
    <w:basedOn w:val="19"/>
    <w:qFormat/>
    <w:uiPriority w:val="9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/>
    </w:tcPr>
    <w:tblStylePr w:type="firstRow">
      <w:rPr>
        <w:rFonts w:cs="??"/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nil"/>
          <w:tl2br w:val="nil"/>
          <w:tr2bl w:val="nil"/>
        </w:tcBorders>
        <w:shd w:val="clear" w:color="auto" w:fill="F79646"/>
      </w:tcPr>
    </w:tblStylePr>
    <w:tblStylePr w:type="lastRow">
      <w:rPr>
        <w:rFonts w:cs="??"/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  <w:tl2br w:val="nil"/>
          <w:tr2bl w:val="nil"/>
        </w:tcBorders>
        <w:shd w:val="clear" w:color="auto" w:fill="F79646"/>
      </w:tcPr>
    </w:tblStylePr>
    <w:tblStylePr w:type="firstCol">
      <w:rPr>
        <w:rFonts w:cs="??"/>
        <w:b/>
        <w:bCs/>
        <w:i w:val="0"/>
        <w:iCs w:val="0"/>
        <w:color w:val="CCE8CF"/>
      </w:rPr>
      <w:tblPr/>
      <w:tcPr>
        <w:tcBorders>
          <w:top w:val="nil"/>
          <w:left w:val="single" w:color="CCE8CF" w:sz="8" w:space="0"/>
          <w:bottom w:val="nil"/>
          <w:right w:val="single" w:color="CCE8CF" w:sz="24" w:space="0"/>
          <w:insideH w:val="nil"/>
          <w:insideV w:val="nil"/>
          <w:tl2br w:val="nil"/>
          <w:tr2bl w:val="nil"/>
        </w:tcBorders>
        <w:shd w:val="clear" w:color="auto" w:fill="F79646"/>
      </w:tcPr>
    </w:tblStylePr>
    <w:tblStylePr w:type="lastCol">
      <w:rPr>
        <w:rFonts w:cs="??"/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79646"/>
      </w:tcPr>
    </w:tblStylePr>
    <w:tblStylePr w:type="band1Vert">
      <w:rPr>
        <w:rFonts w:cs="??"/>
      </w:rPr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  <w:tl2br w:val="nil"/>
          <w:tr2bl w:val="nil"/>
        </w:tcBorders>
        <w:shd w:val="clear" w:color="auto" w:fill="FBCAA2"/>
      </w:tcPr>
    </w:tblStylePr>
    <w:tblStylePr w:type="band1Horz">
      <w:rPr>
        <w:rFonts w:cs="??"/>
      </w:rPr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  <w:tl2br w:val="nil"/>
          <w:tr2bl w:val="nil"/>
        </w:tcBorders>
        <w:shd w:val="clear" w:color="auto" w:fill="FBCAA2"/>
      </w:tcPr>
    </w:tblStylePr>
  </w:style>
  <w:style w:type="character" w:styleId="28">
    <w:name w:val="page number"/>
    <w:qFormat/>
    <w:uiPriority w:val="99"/>
    <w:rPr>
      <w:rFonts w:cs="Times New Roman"/>
    </w:rPr>
  </w:style>
  <w:style w:type="character" w:styleId="29">
    <w:name w:val="Hyperlink"/>
    <w:qFormat/>
    <w:uiPriority w:val="99"/>
    <w:rPr>
      <w:rFonts w:cs="Times New Roman"/>
      <w:color w:val="0000FF"/>
      <w:u w:val="single"/>
    </w:rPr>
  </w:style>
  <w:style w:type="paragraph" w:customStyle="1" w:styleId="30">
    <w:name w:val="&quot; Char&quot;"/>
    <w:basedOn w:val="1"/>
    <w:qFormat/>
    <w:uiPriority w:val="99"/>
    <w:pPr>
      <w:spacing w:line="360" w:lineRule="auto"/>
      <w:ind w:firstLine="200" w:firstLineChars="200"/>
      <w:jc w:val="left"/>
    </w:pPr>
    <w:rPr>
      <w:rFonts w:ascii="??" w:hAnsi="??"/>
      <w:sz w:val="24"/>
      <w:szCs w:val="20"/>
    </w:rPr>
  </w:style>
  <w:style w:type="paragraph" w:customStyle="1" w:styleId="31">
    <w:name w:val="&quot;表格文字&quot;"/>
    <w:basedOn w:val="1"/>
    <w:qFormat/>
    <w:uiPriority w:val="99"/>
    <w:pPr>
      <w:adjustRightInd w:val="0"/>
      <w:snapToGrid w:val="0"/>
    </w:pPr>
    <w:rPr>
      <w:color w:val="000000"/>
      <w:kern w:val="0"/>
      <w:szCs w:val="20"/>
    </w:rPr>
  </w:style>
  <w:style w:type="paragraph" w:customStyle="1" w:styleId="32">
    <w:name w:val="列出段落1"/>
    <w:basedOn w:val="1"/>
    <w:qFormat/>
    <w:uiPriority w:val="99"/>
    <w:pPr>
      <w:spacing w:line="360" w:lineRule="auto"/>
      <w:ind w:firstLine="420" w:firstLineChars="200"/>
    </w:pPr>
    <w:rPr>
      <w:sz w:val="24"/>
      <w:szCs w:val="22"/>
    </w:rPr>
  </w:style>
  <w:style w:type="paragraph" w:customStyle="1" w:styleId="33">
    <w:name w:val="&quot; Char Char1 Char Char Char Char Char Char Char Char Char Char Char Char Char Char Char Char Char Char Char Char1 Char&quot;"/>
    <w:basedOn w:val="1"/>
    <w:qFormat/>
    <w:uiPriority w:val="99"/>
    <w:pPr>
      <w:spacing w:line="360" w:lineRule="auto"/>
      <w:ind w:firstLine="200" w:firstLineChars="200"/>
    </w:pPr>
  </w:style>
  <w:style w:type="paragraph" w:customStyle="1" w:styleId="34">
    <w:name w:val="&quot;表格文字&quot;1"/>
    <w:basedOn w:val="1"/>
    <w:qFormat/>
    <w:uiPriority w:val="99"/>
    <w:pPr>
      <w:adjustRightInd w:val="0"/>
      <w:snapToGrid w:val="0"/>
    </w:pPr>
    <w:rPr>
      <w:color w:val="000000"/>
      <w:kern w:val="0"/>
      <w:szCs w:val="20"/>
    </w:rPr>
  </w:style>
  <w:style w:type="paragraph" w:customStyle="1" w:styleId="35">
    <w:name w:val="&quot; Char&quot;1"/>
    <w:basedOn w:val="1"/>
    <w:qFormat/>
    <w:uiPriority w:val="99"/>
    <w:pPr>
      <w:spacing w:line="360" w:lineRule="auto"/>
      <w:ind w:firstLine="200" w:firstLineChars="200"/>
      <w:jc w:val="left"/>
    </w:pPr>
    <w:rPr>
      <w:rFonts w:ascii="??" w:hAnsi="??"/>
      <w:sz w:val="24"/>
      <w:szCs w:val="20"/>
    </w:rPr>
  </w:style>
  <w:style w:type="paragraph" w:customStyle="1" w:styleId="36">
    <w:name w:val="&quot; Char Char1 Char Char Char Char Char Char Char Char Char Char Char Char Char Char Char Char Char Char Char Char1 Char&quot;1"/>
    <w:basedOn w:val="1"/>
    <w:qFormat/>
    <w:uiPriority w:val="99"/>
    <w:pPr>
      <w:spacing w:line="360" w:lineRule="auto"/>
      <w:ind w:firstLine="200" w:firstLineChars="200"/>
    </w:pPr>
  </w:style>
  <w:style w:type="paragraph" w:customStyle="1" w:styleId="37">
    <w:name w:val="&quot;表格文字&quot;2"/>
    <w:basedOn w:val="1"/>
    <w:qFormat/>
    <w:uiPriority w:val="99"/>
    <w:pPr>
      <w:adjustRightInd w:val="0"/>
      <w:snapToGrid w:val="0"/>
    </w:pPr>
    <w:rPr>
      <w:color w:val="000000"/>
      <w:kern w:val="0"/>
      <w:szCs w:val="20"/>
    </w:rPr>
  </w:style>
  <w:style w:type="paragraph" w:customStyle="1" w:styleId="38">
    <w:name w:val="&quot; Char&quot;2"/>
    <w:basedOn w:val="1"/>
    <w:qFormat/>
    <w:uiPriority w:val="99"/>
    <w:pPr>
      <w:spacing w:line="360" w:lineRule="auto"/>
      <w:ind w:firstLine="200" w:firstLineChars="200"/>
      <w:jc w:val="left"/>
    </w:pPr>
    <w:rPr>
      <w:rFonts w:ascii="??" w:hAnsi="??"/>
      <w:sz w:val="24"/>
      <w:szCs w:val="20"/>
    </w:rPr>
  </w:style>
  <w:style w:type="paragraph" w:customStyle="1" w:styleId="39">
    <w:name w:val="&quot; Char Char1 Char Char Char Char Char Char Char Char Char Char Char Char Char Char Char Char Char Char Char Char1 Char&quot;2"/>
    <w:basedOn w:val="1"/>
    <w:qFormat/>
    <w:uiPriority w:val="99"/>
    <w:pPr>
      <w:spacing w:line="360" w:lineRule="auto"/>
      <w:ind w:firstLine="200" w:firstLineChars="200"/>
    </w:pPr>
  </w:style>
  <w:style w:type="paragraph" w:customStyle="1" w:styleId="40">
    <w:name w:val="&quot;表格文字&quot;3"/>
    <w:basedOn w:val="1"/>
    <w:qFormat/>
    <w:uiPriority w:val="99"/>
    <w:pPr>
      <w:adjustRightInd w:val="0"/>
      <w:snapToGrid w:val="0"/>
    </w:pPr>
    <w:rPr>
      <w:color w:val="000000"/>
      <w:kern w:val="0"/>
      <w:szCs w:val="20"/>
    </w:rPr>
  </w:style>
  <w:style w:type="paragraph" w:customStyle="1" w:styleId="41">
    <w:name w:val="&quot; Char&quot;3"/>
    <w:basedOn w:val="1"/>
    <w:qFormat/>
    <w:uiPriority w:val="99"/>
    <w:pPr>
      <w:spacing w:line="360" w:lineRule="auto"/>
      <w:ind w:firstLine="200" w:firstLineChars="200"/>
      <w:jc w:val="left"/>
    </w:pPr>
    <w:rPr>
      <w:rFonts w:ascii="??" w:hAnsi="??"/>
      <w:sz w:val="24"/>
      <w:szCs w:val="20"/>
    </w:rPr>
  </w:style>
  <w:style w:type="paragraph" w:customStyle="1" w:styleId="42">
    <w:name w:val="&quot; Char Char1 Char Char Char Char Char Char Char Char Char Char Char Char Char Char Char Char Char Char Char Char1 Char&quot;3"/>
    <w:basedOn w:val="1"/>
    <w:qFormat/>
    <w:uiPriority w:val="99"/>
    <w:pPr>
      <w:spacing w:line="360" w:lineRule="auto"/>
      <w:ind w:firstLine="200" w:firstLineChars="200"/>
    </w:pPr>
  </w:style>
  <w:style w:type="paragraph" w:customStyle="1" w:styleId="43">
    <w:name w:val="5555图表标号"/>
    <w:basedOn w:val="1"/>
    <w:qFormat/>
    <w:uiPriority w:val="99"/>
    <w:pPr>
      <w:spacing w:line="440" w:lineRule="exact"/>
      <w:jc w:val="center"/>
    </w:pPr>
    <w:rPr>
      <w:b/>
      <w:szCs w:val="21"/>
    </w:rPr>
  </w:style>
  <w:style w:type="paragraph" w:customStyle="1" w:styleId="44">
    <w:name w:val="列出段落11"/>
    <w:basedOn w:val="1"/>
    <w:qFormat/>
    <w:uiPriority w:val="99"/>
    <w:pPr>
      <w:spacing w:line="360" w:lineRule="auto"/>
      <w:ind w:firstLine="420" w:firstLineChars="200"/>
    </w:pPr>
    <w:rPr>
      <w:sz w:val="24"/>
      <w:szCs w:val="22"/>
    </w:rPr>
  </w:style>
  <w:style w:type="paragraph" w:customStyle="1" w:styleId="45">
    <w:name w:val="文字描述"/>
    <w:basedOn w:val="1"/>
    <w:qFormat/>
    <w:uiPriority w:val="0"/>
    <w:pPr>
      <w:adjustRightInd w:val="0"/>
      <w:snapToGrid w:val="0"/>
      <w:spacing w:line="360" w:lineRule="auto"/>
      <w:ind w:firstLine="200" w:firstLineChars="200"/>
    </w:pPr>
    <w:rPr>
      <w:spacing w:val="-2"/>
      <w:sz w:val="24"/>
    </w:rPr>
  </w:style>
  <w:style w:type="paragraph" w:customStyle="1" w:styleId="46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paragraph" w:customStyle="1" w:styleId="47">
    <w:name w:val="_Style 1"/>
    <w:basedOn w:val="1"/>
    <w:qFormat/>
    <w:uiPriority w:val="99"/>
    <w:pPr>
      <w:ind w:firstLine="420" w:firstLineChars="200"/>
    </w:pPr>
    <w:rPr>
      <w:rFonts w:ascii="Calibri" w:hAnsi="Calibri"/>
      <w:szCs w:val="22"/>
    </w:rPr>
  </w:style>
  <w:style w:type="paragraph" w:customStyle="1" w:styleId="48">
    <w:name w:val="普通(网站)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">
    <w:name w:val="封面标准名称"/>
    <w:qFormat/>
    <w:uiPriority w:val="0"/>
    <w:pPr>
      <w:widowControl w:val="0"/>
      <w:spacing w:line="680" w:lineRule="exact"/>
      <w:jc w:val="center"/>
      <w:textAlignment w:val="center"/>
    </w:pPr>
    <w:rPr>
      <w:rFonts w:ascii="黑体" w:hAnsi="Times New Roman" w:eastAsia="黑体" w:cs="Times New Roman"/>
      <w:sz w:val="52"/>
      <w:szCs w:val="22"/>
      <w:lang w:val="en-US" w:eastAsia="zh-CN" w:bidi="ar-SA"/>
    </w:rPr>
  </w:style>
  <w:style w:type="paragraph" w:customStyle="1" w:styleId="50">
    <w:name w:val="表样式2"/>
    <w:basedOn w:val="1"/>
    <w:qFormat/>
    <w:uiPriority w:val="0"/>
    <w:pPr>
      <w:adjustRightInd w:val="0"/>
      <w:snapToGrid w:val="0"/>
      <w:jc w:val="center"/>
    </w:pPr>
    <w:rPr>
      <w:rFonts w:hAnsi="宋体"/>
      <w:szCs w:val="21"/>
    </w:rPr>
  </w:style>
  <w:style w:type="paragraph" w:customStyle="1" w:styleId="51">
    <w:name w:val="Char Char Char Char"/>
    <w:basedOn w:val="1"/>
    <w:qFormat/>
    <w:uiPriority w:val="0"/>
    <w:pPr>
      <w:spacing w:line="360" w:lineRule="auto"/>
      <w:ind w:firstLine="200" w:firstLineChars="200"/>
    </w:pPr>
    <w:rPr>
      <w:rFonts w:ascii="宋体" w:hAnsi="宋体" w:cs="宋体"/>
      <w:sz w:val="24"/>
    </w:rPr>
  </w:style>
  <w:style w:type="character" w:customStyle="1" w:styleId="52">
    <w:name w:val="标题 1 Char"/>
    <w:link w:val="4"/>
    <w:qFormat/>
    <w:uiPriority w:val="99"/>
    <w:rPr>
      <w:rFonts w:ascii="Times New Roman" w:hAnsi="Times New Roman" w:cs="Times New Roman"/>
      <w:b/>
      <w:bCs/>
      <w:kern w:val="44"/>
      <w:sz w:val="44"/>
      <w:szCs w:val="44"/>
    </w:rPr>
  </w:style>
  <w:style w:type="character" w:customStyle="1" w:styleId="53">
    <w:name w:val="标题 2 Char"/>
    <w:link w:val="5"/>
    <w:qFormat/>
    <w:uiPriority w:val="99"/>
    <w:rPr>
      <w:rFonts w:ascii="Cambria" w:hAnsi="Cambria" w:eastAsia="宋体" w:cs="Times New Roman"/>
      <w:b/>
      <w:bCs/>
      <w:sz w:val="32"/>
      <w:szCs w:val="32"/>
    </w:rPr>
  </w:style>
  <w:style w:type="character" w:customStyle="1" w:styleId="54">
    <w:name w:val="正文文本缩进 Char"/>
    <w:link w:val="3"/>
    <w:qFormat/>
    <w:uiPriority w:val="99"/>
    <w:rPr>
      <w:rFonts w:ascii="Times New Roman" w:hAnsi="Times New Roman" w:cs="Times New Roman"/>
      <w:sz w:val="24"/>
      <w:szCs w:val="24"/>
    </w:rPr>
  </w:style>
  <w:style w:type="character" w:customStyle="1" w:styleId="55">
    <w:name w:val="正文首行缩进 2 Char"/>
    <w:link w:val="2"/>
    <w:qFormat/>
    <w:uiPriority w:val="99"/>
    <w:rPr>
      <w:rFonts w:ascii="Times New Roman" w:hAnsi="Times New Roman" w:cs="Times New Roman"/>
      <w:sz w:val="24"/>
      <w:szCs w:val="24"/>
    </w:rPr>
  </w:style>
  <w:style w:type="character" w:customStyle="1" w:styleId="56">
    <w:name w:val="正文文本 Char"/>
    <w:link w:val="9"/>
    <w:qFormat/>
    <w:uiPriority w:val="99"/>
    <w:rPr>
      <w:rFonts w:ascii="Times New Roman" w:hAnsi="Times New Roman" w:cs="Times New Roman"/>
      <w:sz w:val="24"/>
      <w:szCs w:val="24"/>
    </w:rPr>
  </w:style>
  <w:style w:type="character" w:customStyle="1" w:styleId="57">
    <w:name w:val="正文首行缩进 Char"/>
    <w:link w:val="18"/>
    <w:qFormat/>
    <w:uiPriority w:val="99"/>
    <w:rPr>
      <w:rFonts w:ascii="Times New Roman" w:hAnsi="Times New Roman" w:cs="Times New Roman"/>
      <w:sz w:val="24"/>
      <w:szCs w:val="24"/>
    </w:rPr>
  </w:style>
  <w:style w:type="character" w:customStyle="1" w:styleId="58">
    <w:name w:val="页脚 Char"/>
    <w:link w:val="13"/>
    <w:qFormat/>
    <w:uiPriority w:val="99"/>
    <w:rPr>
      <w:rFonts w:cs="Times New Roman"/>
      <w:sz w:val="18"/>
      <w:szCs w:val="18"/>
    </w:rPr>
  </w:style>
  <w:style w:type="character" w:customStyle="1" w:styleId="59">
    <w:name w:val="页眉 Char"/>
    <w:link w:val="14"/>
    <w:qFormat/>
    <w:uiPriority w:val="99"/>
    <w:rPr>
      <w:rFonts w:cs="Times New Roman"/>
      <w:sz w:val="18"/>
      <w:szCs w:val="18"/>
    </w:rPr>
  </w:style>
  <w:style w:type="character" w:customStyle="1" w:styleId="60">
    <w:name w:val="标题 Char"/>
    <w:link w:val="17"/>
    <w:qFormat/>
    <w:uiPriority w:val="99"/>
    <w:rPr>
      <w:rFonts w:ascii="Cambria" w:hAnsi="Cambria" w:cs="Times New Roman"/>
      <w:b/>
      <w:bCs/>
      <w:sz w:val="32"/>
      <w:szCs w:val="32"/>
    </w:rPr>
  </w:style>
  <w:style w:type="character" w:customStyle="1" w:styleId="61">
    <w:name w:val="日期 Char"/>
    <w:basedOn w:val="27"/>
    <w:link w:val="11"/>
    <w:semiHidden/>
    <w:qFormat/>
    <w:uiPriority w:val="99"/>
    <w:rPr>
      <w:rFonts w:ascii="Times New Roman" w:hAnsi="Times New Roman" w:cs="Times New Roman"/>
      <w:kern w:val="2"/>
      <w:sz w:val="21"/>
      <w:szCs w:val="24"/>
    </w:rPr>
  </w:style>
  <w:style w:type="character" w:customStyle="1" w:styleId="62">
    <w:name w:val="文档结构图 Char"/>
    <w:basedOn w:val="27"/>
    <w:link w:val="7"/>
    <w:semiHidden/>
    <w:qFormat/>
    <w:uiPriority w:val="99"/>
    <w:rPr>
      <w:rFonts w:ascii="宋体" w:hAnsi="Times New Roman" w:cs="Times New Roman"/>
      <w:kern w:val="2"/>
      <w:sz w:val="18"/>
      <w:szCs w:val="18"/>
    </w:rPr>
  </w:style>
  <w:style w:type="character" w:customStyle="1" w:styleId="63">
    <w:name w:val="纯文本 Char"/>
    <w:link w:val="10"/>
    <w:qFormat/>
    <w:uiPriority w:val="0"/>
    <w:rPr>
      <w:rFonts w:ascii="宋体" w:hAnsi="Courier New" w:cs="Times New Roman"/>
      <w:kern w:val="2"/>
      <w:sz w:val="21"/>
      <w:szCs w:val="21"/>
    </w:rPr>
  </w:style>
  <w:style w:type="character" w:customStyle="1" w:styleId="64">
    <w:name w:val="正文文本缩进 2 Char"/>
    <w:basedOn w:val="27"/>
    <w:link w:val="12"/>
    <w:qFormat/>
    <w:uiPriority w:val="99"/>
    <w:rPr>
      <w:rFonts w:ascii="Times New Roman" w:hAnsi="Times New Roman" w:cs="Times New Roman"/>
      <w:kern w:val="2"/>
      <w:sz w:val="24"/>
      <w:szCs w:val="24"/>
    </w:rPr>
  </w:style>
  <w:style w:type="table" w:customStyle="1" w:styleId="65">
    <w:name w:val="中等深浅网格 31"/>
    <w:basedOn w:val="19"/>
    <w:qFormat/>
    <w:uiPriority w:val="9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/>
    </w:tcPr>
    <w:tblStylePr w:type="firstRow">
      <w:rPr>
        <w:rFonts w:cs="??"/>
        <w:b/>
        <w:bCs/>
        <w:i w:val="0"/>
        <w:iCs w:val="0"/>
        <w:color w:val="CCE8CF"/>
      </w:rPr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rPr>
        <w:rFonts w:cs="??"/>
        <w:b/>
        <w:bCs/>
        <w:i w:val="0"/>
        <w:iCs w:val="0"/>
        <w:color w:val="CCE8CF"/>
      </w:rPr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firstCol">
      <w:rPr>
        <w:rFonts w:cs="??"/>
        <w:b/>
        <w:bCs/>
        <w:i w:val="0"/>
        <w:iCs w:val="0"/>
        <w:color w:val="CCE8CF"/>
      </w:rPr>
      <w:tcPr>
        <w:tcBorders>
          <w:top w:val="nil"/>
          <w:left w:val="single" w:color="CCE8CF" w:sz="8" w:space="0"/>
          <w:bottom w:val="nil"/>
          <w:right w:val="single" w:color="CCE8CF" w:sz="24" w:space="0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Col">
      <w:rPr>
        <w:rFonts w:cs="??"/>
        <w:b/>
        <w:bCs/>
        <w:i w:val="0"/>
        <w:iCs w:val="0"/>
        <w:color w:val="CCE8CF"/>
      </w:rPr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band1Vert">
      <w:rPr>
        <w:rFonts w:cs="??"/>
      </w:rPr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  <w:tl2br w:val="nil"/>
          <w:tr2bl w:val="nil"/>
        </w:tcBorders>
        <w:shd w:val="clear" w:color="auto" w:fill="808080"/>
      </w:tcPr>
    </w:tblStylePr>
    <w:tblStylePr w:type="band1Horz">
      <w:rPr>
        <w:rFonts w:cs="??"/>
      </w:rPr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  <w:tl2br w:val="nil"/>
          <w:tr2bl w:val="nil"/>
        </w:tcBorders>
        <w:shd w:val="clear" w:color="auto" w:fill="808080"/>
      </w:tcPr>
    </w:tblStylePr>
  </w:style>
  <w:style w:type="paragraph" w:customStyle="1" w:styleId="66">
    <w:name w:val="Char Char Char Char Char Char Char Char Char Char Char Char Char Char Char2"/>
    <w:basedOn w:val="1"/>
    <w:qFormat/>
    <w:uiPriority w:val="0"/>
    <w:pPr>
      <w:spacing w:line="240" w:lineRule="exact"/>
      <w:ind w:firstLine="200" w:firstLineChars="200"/>
    </w:pPr>
    <w:rPr>
      <w:rFonts w:ascii="宋体" w:hAnsi="宋体" w:cs="宋体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248</Words>
  <Characters>1420</Characters>
  <Lines>11</Lines>
  <Paragraphs>3</Paragraphs>
  <TotalTime>16</TotalTime>
  <ScaleCrop>false</ScaleCrop>
  <LinksUpToDate>false</LinksUpToDate>
  <CharactersWithSpaces>1665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2019-04-04T13:22:00Z</dcterms:created>
  <dc:creator>Sky123.Org</dc:creator>
  <cp:lastModifiedBy>张琦</cp:lastModifiedBy>
  <cp:lastPrinted>2020-08-28T01:06:08Z</cp:lastPrinted>
  <dcterms:modified xsi:type="dcterms:W3CDTF">2020-08-28T01:10:44Z</dcterms:modified>
  <dc:title>青岛XXXX有限公司电泳线扩建项目</dc:title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