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line="420" w:lineRule="exact"/>
        <w:rPr>
          <w:rFonts w:ascii="宋体" w:eastAsia="宋体" w:cs="Times New Roman"/>
          <w:b/>
          <w:bCs/>
          <w:snapToGrid w:val="0"/>
          <w:kern w:val="0"/>
          <w:sz w:val="30"/>
          <w:szCs w:val="30"/>
        </w:rPr>
      </w:pPr>
      <w:r>
        <w:rPr>
          <w:rFonts w:hint="eastAsia" w:ascii="宋体" w:eastAsia="宋体" w:cs="宋体"/>
          <w:b/>
          <w:bCs/>
          <w:snapToGrid w:val="0"/>
          <w:kern w:val="0"/>
          <w:sz w:val="30"/>
          <w:szCs w:val="30"/>
        </w:rPr>
        <w:t>青岛壳牌石油有限公司平度市深圳路加油站</w:t>
      </w:r>
    </w:p>
    <w:p>
      <w:pPr>
        <w:pStyle w:val="19"/>
        <w:spacing w:line="420" w:lineRule="exact"/>
        <w:rPr>
          <w:rFonts w:ascii="宋体" w:eastAsia="宋体" w:cs="宋体"/>
          <w:b/>
          <w:bCs/>
          <w:snapToGrid w:val="0"/>
          <w:kern w:val="0"/>
          <w:sz w:val="30"/>
          <w:szCs w:val="30"/>
        </w:rPr>
      </w:pPr>
      <w:r>
        <w:rPr>
          <w:rFonts w:hint="eastAsia" w:ascii="宋体" w:eastAsia="宋体" w:cs="宋体"/>
          <w:b/>
          <w:bCs/>
          <w:snapToGrid w:val="0"/>
          <w:kern w:val="0"/>
          <w:sz w:val="30"/>
          <w:szCs w:val="30"/>
        </w:rPr>
        <w:t>加油站项目</w:t>
      </w:r>
    </w:p>
    <w:p>
      <w:pPr>
        <w:pStyle w:val="19"/>
        <w:spacing w:line="420" w:lineRule="exact"/>
        <w:rPr>
          <w:rFonts w:ascii="宋体" w:eastAsia="宋体" w:cs="Times New Roman"/>
          <w:b/>
          <w:bCs/>
          <w:snapToGrid w:val="0"/>
          <w:kern w:val="0"/>
          <w:sz w:val="30"/>
          <w:szCs w:val="30"/>
          <w:lang w:val="zh-TW"/>
        </w:rPr>
      </w:pPr>
      <w:r>
        <w:rPr>
          <w:rFonts w:hint="eastAsia" w:ascii="宋体" w:eastAsia="宋体" w:cs="宋体"/>
          <w:b/>
          <w:bCs/>
          <w:snapToGrid w:val="0"/>
          <w:kern w:val="0"/>
          <w:sz w:val="30"/>
          <w:szCs w:val="30"/>
        </w:rPr>
        <w:t>竣工环境保护验收意见</w:t>
      </w:r>
    </w:p>
    <w:p>
      <w:pPr>
        <w:adjustRightInd w:val="0"/>
        <w:snapToGrid w:val="0"/>
        <w:spacing w:line="420" w:lineRule="exact"/>
        <w:ind w:firstLine="607"/>
        <w:jc w:val="left"/>
        <w:rPr>
          <w:rFonts w:ascii="宋体"/>
          <w:snapToGrid w:val="0"/>
          <w:kern w:val="0"/>
          <w:sz w:val="24"/>
          <w:szCs w:val="24"/>
        </w:rPr>
      </w:pPr>
    </w:p>
    <w:p>
      <w:pPr>
        <w:pStyle w:val="21"/>
        <w:spacing w:after="0" w:line="420" w:lineRule="exact"/>
        <w:ind w:firstLine="706" w:firstLineChars="200"/>
        <w:rPr>
          <w:rFonts w:ascii="宋体" w:hAnsi="宋体"/>
          <w:snapToGrid w:val="0"/>
          <w:kern w:val="0"/>
          <w:sz w:val="24"/>
          <w:szCs w:val="24"/>
        </w:rPr>
      </w:pPr>
      <w:r>
        <w:rPr>
          <w:rFonts w:ascii="宋体"/>
          <w:snapToGrid w:val="0"/>
          <w:kern w:val="0"/>
          <w:sz w:val="24"/>
          <w:szCs w:val="24"/>
        </w:rPr>
        <w:t>20</w:t>
      </w:r>
      <w:r>
        <w:rPr>
          <w:rFonts w:hint="eastAsia" w:ascii="宋体"/>
          <w:snapToGrid w:val="0"/>
          <w:kern w:val="0"/>
          <w:sz w:val="24"/>
          <w:szCs w:val="24"/>
        </w:rPr>
        <w:t>20</w:t>
      </w:r>
      <w:r>
        <w:rPr>
          <w:rFonts w:ascii="宋体"/>
          <w:snapToGrid w:val="0"/>
          <w:kern w:val="0"/>
          <w:sz w:val="24"/>
          <w:szCs w:val="24"/>
        </w:rPr>
        <w:t>年</w:t>
      </w:r>
      <w:r>
        <w:rPr>
          <w:rFonts w:hint="eastAsia" w:ascii="宋体"/>
          <w:snapToGrid w:val="0"/>
          <w:kern w:val="0"/>
          <w:sz w:val="24"/>
          <w:szCs w:val="24"/>
        </w:rPr>
        <w:t>4</w:t>
      </w:r>
      <w:r>
        <w:rPr>
          <w:rFonts w:ascii="宋体"/>
          <w:snapToGrid w:val="0"/>
          <w:kern w:val="0"/>
          <w:sz w:val="24"/>
          <w:szCs w:val="24"/>
        </w:rPr>
        <w:t>月</w:t>
      </w:r>
      <w:r>
        <w:rPr>
          <w:rFonts w:hint="eastAsia" w:ascii="宋体"/>
          <w:snapToGrid w:val="0"/>
          <w:kern w:val="0"/>
          <w:sz w:val="24"/>
          <w:szCs w:val="24"/>
        </w:rPr>
        <w:t>30</w:t>
      </w:r>
      <w:r>
        <w:rPr>
          <w:rFonts w:ascii="宋体"/>
          <w:snapToGrid w:val="0"/>
          <w:kern w:val="0"/>
          <w:sz w:val="24"/>
          <w:szCs w:val="24"/>
        </w:rPr>
        <w:t>日</w:t>
      </w:r>
      <w:r>
        <w:rPr>
          <w:snapToGrid w:val="0"/>
          <w:kern w:val="0"/>
          <w:sz w:val="24"/>
          <w:szCs w:val="24"/>
        </w:rPr>
        <w:t>，</w:t>
      </w:r>
      <w:r>
        <w:rPr>
          <w:rFonts w:ascii="宋体" w:hAnsi="宋体"/>
          <w:snapToGrid w:val="0"/>
          <w:kern w:val="0"/>
          <w:sz w:val="24"/>
          <w:szCs w:val="24"/>
        </w:rPr>
        <w:t>青岛壳牌石油有限公司</w:t>
      </w:r>
      <w:bookmarkStart w:id="0" w:name="_GoBack"/>
      <w:bookmarkEnd w:id="0"/>
      <w:r>
        <w:rPr>
          <w:rFonts w:ascii="宋体" w:hAnsi="宋体"/>
          <w:snapToGrid w:val="0"/>
          <w:kern w:val="0"/>
          <w:sz w:val="24"/>
          <w:szCs w:val="24"/>
        </w:rPr>
        <w:t>根据</w:t>
      </w:r>
      <w:r>
        <w:rPr>
          <w:rFonts w:hint="eastAsia"/>
          <w:snapToGrid w:val="0"/>
          <w:kern w:val="0"/>
          <w:sz w:val="24"/>
          <w:szCs w:val="24"/>
        </w:rPr>
        <w:t>“</w:t>
      </w:r>
      <w:r>
        <w:rPr>
          <w:rFonts w:ascii="宋体" w:hAnsi="宋体"/>
          <w:snapToGrid w:val="0"/>
          <w:kern w:val="0"/>
          <w:sz w:val="24"/>
          <w:szCs w:val="24"/>
        </w:rPr>
        <w:t>青岛壳牌石油有限公司平度市深圳路加油站加油站项目</w:t>
      </w:r>
      <w:r>
        <w:rPr>
          <w:rFonts w:hint="eastAsia"/>
          <w:snapToGrid w:val="0"/>
          <w:kern w:val="0"/>
          <w:sz w:val="24"/>
          <w:szCs w:val="24"/>
        </w:rPr>
        <w:t>”</w:t>
      </w:r>
      <w:r>
        <w:rPr>
          <w:rFonts w:ascii="宋体" w:hAnsi="宋体"/>
          <w:snapToGrid w:val="0"/>
          <w:kern w:val="0"/>
          <w:sz w:val="24"/>
          <w:szCs w:val="24"/>
        </w:rPr>
        <w:t>竣工环境保护验收监测报告</w:t>
      </w:r>
      <w:r>
        <w:rPr>
          <w:snapToGrid w:val="0"/>
          <w:kern w:val="0"/>
          <w:sz w:val="24"/>
          <w:szCs w:val="24"/>
        </w:rPr>
        <w:t>，</w:t>
      </w:r>
      <w:r>
        <w:rPr>
          <w:rFonts w:ascii="宋体" w:hAnsi="宋体"/>
          <w:snapToGrid w:val="0"/>
          <w:kern w:val="0"/>
          <w:sz w:val="24"/>
          <w:szCs w:val="24"/>
        </w:rPr>
        <w:t>并对照</w:t>
      </w:r>
      <w:r>
        <w:rPr>
          <w:snapToGrid w:val="0"/>
          <w:kern w:val="0"/>
          <w:sz w:val="24"/>
          <w:szCs w:val="24"/>
        </w:rPr>
        <w:t>《</w:t>
      </w:r>
      <w:r>
        <w:rPr>
          <w:rFonts w:ascii="宋体" w:hAnsi="宋体"/>
          <w:snapToGrid w:val="0"/>
          <w:kern w:val="0"/>
          <w:sz w:val="24"/>
          <w:szCs w:val="24"/>
        </w:rPr>
        <w:t>建设项目竣工环境保护验收暂行办法</w:t>
      </w:r>
      <w:r>
        <w:rPr>
          <w:snapToGrid w:val="0"/>
          <w:kern w:val="0"/>
          <w:sz w:val="24"/>
          <w:szCs w:val="24"/>
        </w:rPr>
        <w:t>》，</w:t>
      </w:r>
      <w:r>
        <w:rPr>
          <w:rFonts w:ascii="宋体" w:hAnsi="宋体"/>
          <w:snapToGrid w:val="0"/>
          <w:kern w:val="0"/>
          <w:sz w:val="24"/>
          <w:szCs w:val="24"/>
        </w:rPr>
        <w:t>严格依照国家有关法律法规</w:t>
      </w:r>
      <w:r>
        <w:rPr>
          <w:snapToGrid w:val="0"/>
          <w:kern w:val="0"/>
          <w:sz w:val="24"/>
          <w:szCs w:val="24"/>
        </w:rPr>
        <w:t>、</w:t>
      </w:r>
      <w:r>
        <w:rPr>
          <w:rFonts w:ascii="宋体" w:hAnsi="宋体"/>
          <w:snapToGrid w:val="0"/>
          <w:kern w:val="0"/>
          <w:sz w:val="24"/>
          <w:szCs w:val="24"/>
        </w:rPr>
        <w:t>建设项目竣工环境保护验收技术规范/指南</w:t>
      </w:r>
      <w:r>
        <w:rPr>
          <w:snapToGrid w:val="0"/>
          <w:kern w:val="0"/>
          <w:sz w:val="24"/>
          <w:szCs w:val="24"/>
        </w:rPr>
        <w:t>、</w:t>
      </w:r>
      <w:r>
        <w:rPr>
          <w:rFonts w:ascii="宋体" w:hAnsi="宋体"/>
          <w:snapToGrid w:val="0"/>
          <w:kern w:val="0"/>
          <w:sz w:val="24"/>
          <w:szCs w:val="24"/>
        </w:rPr>
        <w:t>本项目环境影响报告书和审批部门审批决定等要求</w:t>
      </w:r>
      <w:r>
        <w:rPr>
          <w:snapToGrid w:val="0"/>
          <w:kern w:val="0"/>
          <w:sz w:val="24"/>
          <w:szCs w:val="24"/>
        </w:rPr>
        <w:t>，</w:t>
      </w:r>
      <w:r>
        <w:rPr>
          <w:rFonts w:ascii="宋体" w:hAnsi="宋体"/>
          <w:snapToGrid w:val="0"/>
          <w:kern w:val="0"/>
          <w:sz w:val="24"/>
          <w:szCs w:val="24"/>
        </w:rPr>
        <w:t>对本项目进行验收</w:t>
      </w:r>
      <w:r>
        <w:rPr>
          <w:snapToGrid w:val="0"/>
          <w:kern w:val="0"/>
          <w:sz w:val="24"/>
          <w:szCs w:val="24"/>
        </w:rPr>
        <w:t>，</w:t>
      </w:r>
      <w:r>
        <w:rPr>
          <w:rFonts w:ascii="宋体" w:hAnsi="宋体"/>
          <w:snapToGrid w:val="0"/>
          <w:kern w:val="0"/>
          <w:sz w:val="24"/>
          <w:szCs w:val="24"/>
        </w:rPr>
        <w:t>提出意见如下</w:t>
      </w:r>
      <w:r>
        <w:rPr>
          <w:snapToGrid w:val="0"/>
          <w:kern w:val="0"/>
          <w:sz w:val="24"/>
          <w:szCs w:val="24"/>
        </w:rPr>
        <w:t>：</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一</w:t>
      </w:r>
      <w:r>
        <w:rPr>
          <w:b/>
          <w:bCs/>
          <w:snapToGrid w:val="0"/>
          <w:kern w:val="0"/>
          <w:sz w:val="24"/>
          <w:szCs w:val="24"/>
        </w:rPr>
        <w:t>、</w:t>
      </w:r>
      <w:r>
        <w:rPr>
          <w:rFonts w:ascii="宋体" w:hAnsi="宋体"/>
          <w:b/>
          <w:bCs/>
          <w:snapToGrid w:val="0"/>
          <w:kern w:val="0"/>
          <w:sz w:val="24"/>
          <w:szCs w:val="24"/>
        </w:rPr>
        <w:t>项目基本情况</w:t>
      </w:r>
    </w:p>
    <w:p>
      <w:pPr>
        <w:pStyle w:val="21"/>
        <w:spacing w:after="0" w:line="420" w:lineRule="exact"/>
        <w:ind w:firstLine="706" w:firstLineChars="200"/>
        <w:rPr>
          <w:rFonts w:ascii="宋体" w:hAnsi="宋体"/>
          <w:snapToGrid w:val="0"/>
          <w:sz w:val="24"/>
          <w:szCs w:val="24"/>
        </w:rPr>
      </w:pPr>
      <w:r>
        <w:rPr>
          <w:snapToGrid w:val="0"/>
          <w:sz w:val="24"/>
          <w:szCs w:val="24"/>
        </w:rPr>
        <w:t>（</w:t>
      </w:r>
      <w:r>
        <w:rPr>
          <w:rFonts w:ascii="宋体" w:hAnsi="宋体"/>
          <w:snapToGrid w:val="0"/>
          <w:sz w:val="24"/>
          <w:szCs w:val="24"/>
        </w:rPr>
        <w:t>一</w:t>
      </w:r>
      <w:r>
        <w:rPr>
          <w:snapToGrid w:val="0"/>
          <w:sz w:val="24"/>
          <w:szCs w:val="24"/>
        </w:rPr>
        <w:t>）</w:t>
      </w:r>
      <w:r>
        <w:rPr>
          <w:rFonts w:ascii="宋体" w:hAnsi="宋体"/>
          <w:snapToGrid w:val="0"/>
          <w:sz w:val="24"/>
          <w:szCs w:val="24"/>
        </w:rPr>
        <w:t>建设地点</w:t>
      </w:r>
      <w:r>
        <w:rPr>
          <w:snapToGrid w:val="0"/>
          <w:sz w:val="24"/>
          <w:szCs w:val="24"/>
        </w:rPr>
        <w:t>、</w:t>
      </w:r>
      <w:r>
        <w:rPr>
          <w:rFonts w:ascii="宋体" w:hAnsi="宋体"/>
          <w:snapToGrid w:val="0"/>
          <w:sz w:val="24"/>
          <w:szCs w:val="24"/>
        </w:rPr>
        <w:t>规模</w:t>
      </w:r>
      <w:r>
        <w:rPr>
          <w:snapToGrid w:val="0"/>
          <w:sz w:val="24"/>
          <w:szCs w:val="24"/>
        </w:rPr>
        <w:t>、</w:t>
      </w:r>
      <w:r>
        <w:rPr>
          <w:rFonts w:ascii="宋体" w:hAnsi="宋体"/>
          <w:snapToGrid w:val="0"/>
          <w:sz w:val="24"/>
          <w:szCs w:val="24"/>
        </w:rPr>
        <w:t>主要建设内容</w:t>
      </w:r>
    </w:p>
    <w:p>
      <w:pPr>
        <w:pStyle w:val="21"/>
        <w:spacing w:after="0" w:line="420" w:lineRule="exact"/>
        <w:ind w:firstLine="706" w:firstLineChars="200"/>
        <w:rPr>
          <w:rFonts w:hint="eastAsia" w:ascii="宋体" w:hAnsi="宋体"/>
          <w:snapToGrid w:val="0"/>
          <w:kern w:val="0"/>
          <w:sz w:val="24"/>
          <w:szCs w:val="24"/>
        </w:rPr>
      </w:pPr>
      <w:r>
        <w:rPr>
          <w:rFonts w:hint="eastAsia" w:ascii="宋体" w:hAnsi="宋体"/>
          <w:snapToGrid w:val="0"/>
          <w:kern w:val="0"/>
          <w:sz w:val="24"/>
          <w:szCs w:val="24"/>
        </w:rPr>
        <w:t>青岛壳牌石油有限公司平度市深圳路加油站加油站项目位于平度市李园街道办事处深圳路665号。项目投资60万元进行加油站建设项目，主要建设3个30m</w:t>
      </w:r>
      <w:r>
        <w:rPr>
          <w:rFonts w:hint="eastAsia" w:ascii="宋体" w:hAnsi="宋体"/>
          <w:snapToGrid w:val="0"/>
          <w:kern w:val="0"/>
          <w:sz w:val="24"/>
          <w:szCs w:val="24"/>
          <w:vertAlign w:val="superscript"/>
        </w:rPr>
        <w:t>3</w:t>
      </w:r>
      <w:r>
        <w:rPr>
          <w:rFonts w:hint="eastAsia" w:ascii="宋体" w:hAnsi="宋体"/>
          <w:snapToGrid w:val="0"/>
          <w:kern w:val="0"/>
          <w:sz w:val="24"/>
          <w:szCs w:val="24"/>
        </w:rPr>
        <w:t>汽油储罐、2个30m</w:t>
      </w:r>
      <w:r>
        <w:rPr>
          <w:rFonts w:hint="eastAsia" w:ascii="宋体" w:hAnsi="宋体"/>
          <w:snapToGrid w:val="0"/>
          <w:kern w:val="0"/>
          <w:sz w:val="24"/>
          <w:szCs w:val="24"/>
          <w:vertAlign w:val="superscript"/>
        </w:rPr>
        <w:t>3</w:t>
      </w:r>
      <w:r>
        <w:rPr>
          <w:rFonts w:hint="eastAsia" w:ascii="宋体" w:hAnsi="宋体"/>
          <w:snapToGrid w:val="0"/>
          <w:kern w:val="0"/>
          <w:sz w:val="24"/>
          <w:szCs w:val="24"/>
        </w:rPr>
        <w:t>柴油储罐，总罐容150m</w:t>
      </w:r>
      <w:r>
        <w:rPr>
          <w:rFonts w:hint="eastAsia" w:ascii="宋体" w:hAnsi="宋体"/>
          <w:snapToGrid w:val="0"/>
          <w:kern w:val="0"/>
          <w:sz w:val="24"/>
          <w:szCs w:val="24"/>
          <w:vertAlign w:val="superscript"/>
        </w:rPr>
        <w:t>3</w:t>
      </w:r>
      <w:r>
        <w:rPr>
          <w:rFonts w:hint="eastAsia" w:ascii="宋体" w:hAnsi="宋体"/>
          <w:snapToGrid w:val="0"/>
          <w:kern w:val="0"/>
          <w:sz w:val="24"/>
          <w:szCs w:val="24"/>
        </w:rPr>
        <w:t>，设置四枪双油品加油机2台、六枪汽油加油机2台，配套建设一次、二次、三次油气回收系统，油罐液位检测仪1台，双层罐渗漏检测仪1台，双层管道渗漏检测仪1台，项目10人，两班两运转，日营业时间为24小时，年工作时间365天。年销售柴油300t/a、汽油1500t/a。</w:t>
      </w:r>
    </w:p>
    <w:p>
      <w:pPr>
        <w:pStyle w:val="21"/>
        <w:spacing w:after="0" w:line="420" w:lineRule="exact"/>
        <w:ind w:firstLine="706" w:firstLineChars="200"/>
        <w:rPr>
          <w:rFonts w:ascii="宋体" w:hAnsi="宋体"/>
          <w:snapToGrid w:val="0"/>
          <w:sz w:val="24"/>
          <w:szCs w:val="24"/>
        </w:rPr>
      </w:pPr>
      <w:r>
        <w:rPr>
          <w:snapToGrid w:val="0"/>
          <w:sz w:val="24"/>
          <w:szCs w:val="24"/>
        </w:rPr>
        <w:t>（</w:t>
      </w:r>
      <w:r>
        <w:rPr>
          <w:rFonts w:ascii="宋体" w:hAnsi="宋体"/>
          <w:snapToGrid w:val="0"/>
          <w:sz w:val="24"/>
          <w:szCs w:val="24"/>
        </w:rPr>
        <w:t>二</w:t>
      </w:r>
      <w:r>
        <w:rPr>
          <w:snapToGrid w:val="0"/>
          <w:sz w:val="24"/>
          <w:szCs w:val="24"/>
        </w:rPr>
        <w:t>）</w:t>
      </w:r>
      <w:r>
        <w:rPr>
          <w:rFonts w:ascii="宋体" w:hAnsi="宋体"/>
          <w:snapToGrid w:val="0"/>
          <w:sz w:val="24"/>
          <w:szCs w:val="24"/>
        </w:rPr>
        <w:t>建设</w:t>
      </w:r>
      <w:r>
        <w:rPr>
          <w:rFonts w:ascii="宋体" w:hAnsi="宋体"/>
          <w:snapToGrid w:val="0"/>
          <w:kern w:val="0"/>
          <w:sz w:val="24"/>
          <w:szCs w:val="24"/>
        </w:rPr>
        <w:t>过程</w:t>
      </w:r>
      <w:r>
        <w:rPr>
          <w:rFonts w:ascii="宋体" w:hAnsi="宋体"/>
          <w:snapToGrid w:val="0"/>
          <w:sz w:val="24"/>
          <w:szCs w:val="24"/>
        </w:rPr>
        <w:t>及环保审批情况</w:t>
      </w:r>
    </w:p>
    <w:p>
      <w:pPr>
        <w:pStyle w:val="21"/>
        <w:spacing w:after="0" w:line="420" w:lineRule="exact"/>
        <w:ind w:firstLine="706" w:firstLineChars="200"/>
        <w:rPr>
          <w:rFonts w:hint="eastAsia" w:ascii="宋体" w:hAnsi="宋体"/>
          <w:snapToGrid w:val="0"/>
          <w:kern w:val="0"/>
          <w:sz w:val="24"/>
          <w:szCs w:val="24"/>
        </w:rPr>
      </w:pPr>
      <w:r>
        <w:rPr>
          <w:rFonts w:hint="eastAsia" w:ascii="宋体" w:hAnsi="宋体"/>
          <w:snapToGrid w:val="0"/>
          <w:kern w:val="0"/>
          <w:sz w:val="24"/>
          <w:szCs w:val="24"/>
        </w:rPr>
        <w:t>2019年12月，青岛银燕环保科技研究所对本项目进行环境影响评价，编制完成《青岛壳牌石油有限公司平度市深圳路加油站加油站项目环境影响报告表》。</w:t>
      </w:r>
    </w:p>
    <w:p>
      <w:pPr>
        <w:pStyle w:val="21"/>
        <w:spacing w:after="0" w:line="420" w:lineRule="exact"/>
        <w:ind w:firstLine="706" w:firstLineChars="200"/>
        <w:rPr>
          <w:rFonts w:hint="eastAsia" w:ascii="宋体" w:hAnsi="宋体"/>
          <w:snapToGrid w:val="0"/>
          <w:kern w:val="0"/>
          <w:sz w:val="24"/>
          <w:szCs w:val="24"/>
        </w:rPr>
      </w:pPr>
      <w:r>
        <w:rPr>
          <w:rFonts w:hint="eastAsia" w:ascii="宋体" w:hAnsi="宋体"/>
          <w:snapToGrid w:val="0"/>
          <w:kern w:val="0"/>
          <w:sz w:val="24"/>
          <w:szCs w:val="24"/>
        </w:rPr>
        <w:t>2020年2月17日，青岛市生态环境局平度分局以平环审〔2020〕16号文件，对本项目进行了批复。</w:t>
      </w:r>
    </w:p>
    <w:p>
      <w:pPr>
        <w:pStyle w:val="21"/>
        <w:spacing w:after="0" w:line="420" w:lineRule="exact"/>
        <w:ind w:firstLine="706" w:firstLineChars="200"/>
        <w:rPr>
          <w:rFonts w:hint="eastAsia" w:ascii="宋体" w:hAnsi="宋体"/>
          <w:snapToGrid w:val="0"/>
          <w:kern w:val="0"/>
          <w:sz w:val="24"/>
          <w:szCs w:val="24"/>
        </w:rPr>
      </w:pPr>
      <w:r>
        <w:rPr>
          <w:rFonts w:hint="eastAsia" w:ascii="宋体" w:hAnsi="宋体"/>
          <w:snapToGrid w:val="0"/>
          <w:kern w:val="0"/>
          <w:sz w:val="24"/>
          <w:szCs w:val="24"/>
        </w:rPr>
        <w:t>项目2020年3月建设完成。</w:t>
      </w:r>
    </w:p>
    <w:p>
      <w:pPr>
        <w:pStyle w:val="21"/>
        <w:spacing w:after="0" w:line="420" w:lineRule="exact"/>
        <w:ind w:firstLine="706" w:firstLineChars="200"/>
        <w:rPr>
          <w:rFonts w:ascii="宋体" w:hAnsi="宋体"/>
          <w:snapToGrid w:val="0"/>
          <w:sz w:val="24"/>
          <w:szCs w:val="24"/>
        </w:rPr>
      </w:pPr>
      <w:r>
        <w:rPr>
          <w:snapToGrid w:val="0"/>
          <w:sz w:val="24"/>
          <w:szCs w:val="24"/>
        </w:rPr>
        <w:t>（</w:t>
      </w:r>
      <w:r>
        <w:rPr>
          <w:rFonts w:ascii="宋体" w:hAnsi="宋体"/>
          <w:snapToGrid w:val="0"/>
          <w:sz w:val="24"/>
          <w:szCs w:val="24"/>
        </w:rPr>
        <w:t>三</w:t>
      </w:r>
      <w:r>
        <w:rPr>
          <w:snapToGrid w:val="0"/>
          <w:sz w:val="24"/>
          <w:szCs w:val="24"/>
        </w:rPr>
        <w:t>）</w:t>
      </w:r>
      <w:r>
        <w:rPr>
          <w:rFonts w:ascii="宋体" w:hAnsi="宋体"/>
          <w:snapToGrid w:val="0"/>
          <w:sz w:val="24"/>
          <w:szCs w:val="24"/>
        </w:rPr>
        <w:t>投资情况</w:t>
      </w:r>
    </w:p>
    <w:p>
      <w:pPr>
        <w:pStyle w:val="21"/>
        <w:spacing w:after="0" w:line="420" w:lineRule="exact"/>
        <w:ind w:firstLine="706" w:firstLineChars="200"/>
        <w:rPr>
          <w:rFonts w:ascii="宋体" w:hAnsi="宋体"/>
          <w:snapToGrid w:val="0"/>
          <w:sz w:val="24"/>
          <w:szCs w:val="24"/>
        </w:rPr>
      </w:pPr>
      <w:r>
        <w:rPr>
          <w:rFonts w:ascii="宋体" w:hAnsi="宋体"/>
          <w:snapToGrid w:val="0"/>
          <w:sz w:val="24"/>
          <w:szCs w:val="24"/>
        </w:rPr>
        <w:t>项目实际</w:t>
      </w:r>
      <w:r>
        <w:rPr>
          <w:rFonts w:ascii="宋体" w:hAnsi="宋体"/>
          <w:snapToGrid w:val="0"/>
          <w:kern w:val="0"/>
          <w:sz w:val="24"/>
          <w:szCs w:val="24"/>
        </w:rPr>
        <w:t>投资</w:t>
      </w:r>
      <w:r>
        <w:rPr>
          <w:rFonts w:hint="eastAsia" w:ascii="宋体" w:hAnsi="宋体"/>
          <w:snapToGrid w:val="0"/>
          <w:kern w:val="0"/>
          <w:sz w:val="24"/>
          <w:szCs w:val="24"/>
        </w:rPr>
        <w:t>6</w:t>
      </w:r>
      <w:r>
        <w:rPr>
          <w:rFonts w:ascii="宋体" w:hAnsi="宋体"/>
          <w:snapToGrid w:val="0"/>
          <w:kern w:val="0"/>
          <w:sz w:val="24"/>
          <w:szCs w:val="24"/>
        </w:rPr>
        <w:t>0</w:t>
      </w:r>
      <w:r>
        <w:rPr>
          <w:rFonts w:ascii="宋体" w:hAnsi="宋体"/>
          <w:snapToGrid w:val="0"/>
          <w:sz w:val="24"/>
          <w:szCs w:val="24"/>
        </w:rPr>
        <w:t>万元</w:t>
      </w:r>
      <w:r>
        <w:rPr>
          <w:snapToGrid w:val="0"/>
          <w:sz w:val="24"/>
          <w:szCs w:val="24"/>
        </w:rPr>
        <w:t>，</w:t>
      </w:r>
      <w:r>
        <w:rPr>
          <w:rFonts w:ascii="宋体" w:hAnsi="宋体"/>
          <w:snapToGrid w:val="0"/>
          <w:sz w:val="24"/>
          <w:szCs w:val="24"/>
        </w:rPr>
        <w:t>其中环保投资</w:t>
      </w:r>
      <w:r>
        <w:rPr>
          <w:rFonts w:hint="eastAsia" w:ascii="宋体" w:hAnsi="宋体"/>
          <w:snapToGrid w:val="0"/>
          <w:sz w:val="24"/>
          <w:szCs w:val="24"/>
        </w:rPr>
        <w:t>7</w:t>
      </w:r>
      <w:r>
        <w:rPr>
          <w:rFonts w:ascii="宋体" w:hAnsi="宋体"/>
          <w:snapToGrid w:val="0"/>
          <w:sz w:val="24"/>
          <w:szCs w:val="24"/>
        </w:rPr>
        <w:t>万元</w:t>
      </w:r>
      <w:r>
        <w:rPr>
          <w:snapToGrid w:val="0"/>
          <w:sz w:val="24"/>
          <w:szCs w:val="24"/>
        </w:rPr>
        <w:t>，</w:t>
      </w:r>
      <w:r>
        <w:rPr>
          <w:rFonts w:ascii="宋体" w:hAnsi="宋体"/>
          <w:snapToGrid w:val="0"/>
          <w:sz w:val="24"/>
          <w:szCs w:val="24"/>
        </w:rPr>
        <w:t>约占总投资的</w:t>
      </w:r>
      <w:r>
        <w:rPr>
          <w:rFonts w:hint="eastAsia" w:ascii="宋体" w:hAnsi="宋体"/>
          <w:snapToGrid w:val="0"/>
          <w:sz w:val="24"/>
          <w:szCs w:val="24"/>
        </w:rPr>
        <w:t>11.7</w:t>
      </w:r>
      <w:r>
        <w:rPr>
          <w:rFonts w:ascii="宋体" w:hAnsi="宋体"/>
          <w:snapToGrid w:val="0"/>
          <w:sz w:val="24"/>
          <w:szCs w:val="24"/>
        </w:rPr>
        <w:t>%</w:t>
      </w:r>
      <w:r>
        <w:rPr>
          <w:snapToGrid w:val="0"/>
          <w:sz w:val="24"/>
          <w:szCs w:val="24"/>
        </w:rPr>
        <w:t>。</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二</w:t>
      </w:r>
      <w:r>
        <w:rPr>
          <w:b/>
          <w:bCs/>
          <w:snapToGrid w:val="0"/>
          <w:kern w:val="0"/>
          <w:sz w:val="24"/>
          <w:szCs w:val="24"/>
        </w:rPr>
        <w:t>、</w:t>
      </w:r>
      <w:r>
        <w:rPr>
          <w:rFonts w:ascii="宋体" w:hAnsi="宋体"/>
          <w:b/>
          <w:bCs/>
          <w:snapToGrid w:val="0"/>
          <w:kern w:val="0"/>
          <w:sz w:val="24"/>
          <w:szCs w:val="24"/>
        </w:rPr>
        <w:t>项目变动情况</w:t>
      </w:r>
    </w:p>
    <w:p>
      <w:pPr>
        <w:pStyle w:val="21"/>
        <w:spacing w:after="0" w:line="420" w:lineRule="exact"/>
        <w:ind w:firstLine="706" w:firstLineChars="200"/>
        <w:rPr>
          <w:rFonts w:ascii="宋体" w:hAnsi="宋体"/>
          <w:snapToGrid w:val="0"/>
          <w:kern w:val="0"/>
          <w:sz w:val="24"/>
          <w:szCs w:val="24"/>
        </w:rPr>
      </w:pPr>
      <w:r>
        <w:rPr>
          <w:rFonts w:hint="eastAsia" w:ascii="宋体" w:hAnsi="宋体"/>
          <w:snapToGrid w:val="0"/>
          <w:kern w:val="0"/>
          <w:sz w:val="24"/>
          <w:szCs w:val="24"/>
        </w:rPr>
        <w:t>项目无变动</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三</w:t>
      </w:r>
      <w:r>
        <w:rPr>
          <w:b/>
          <w:bCs/>
          <w:snapToGrid w:val="0"/>
          <w:kern w:val="0"/>
          <w:sz w:val="24"/>
          <w:szCs w:val="24"/>
        </w:rPr>
        <w:t>、</w:t>
      </w:r>
      <w:r>
        <w:rPr>
          <w:rFonts w:ascii="宋体" w:hAnsi="宋体"/>
          <w:b/>
          <w:bCs/>
          <w:snapToGrid w:val="0"/>
          <w:kern w:val="0"/>
          <w:sz w:val="24"/>
          <w:szCs w:val="24"/>
        </w:rPr>
        <w:t>环境保护设施建设情况</w:t>
      </w:r>
    </w:p>
    <w:p>
      <w:pPr>
        <w:pStyle w:val="21"/>
        <w:spacing w:after="0" w:line="420" w:lineRule="exact"/>
        <w:ind w:firstLine="706" w:firstLineChars="200"/>
        <w:rPr>
          <w:rFonts w:ascii="宋体" w:hAnsi="宋体"/>
          <w:snapToGrid w:val="0"/>
          <w:kern w:val="0"/>
          <w:sz w:val="24"/>
          <w:szCs w:val="24"/>
        </w:rPr>
      </w:pPr>
      <w:r>
        <w:rPr>
          <w:snapToGrid w:val="0"/>
          <w:kern w:val="0"/>
          <w:sz w:val="24"/>
          <w:szCs w:val="24"/>
        </w:rPr>
        <w:t>（</w:t>
      </w:r>
      <w:r>
        <w:rPr>
          <w:rFonts w:ascii="宋体" w:hAnsi="宋体"/>
          <w:snapToGrid w:val="0"/>
          <w:kern w:val="0"/>
          <w:sz w:val="24"/>
          <w:szCs w:val="24"/>
        </w:rPr>
        <w:t>一</w:t>
      </w:r>
      <w:r>
        <w:rPr>
          <w:snapToGrid w:val="0"/>
          <w:kern w:val="0"/>
          <w:sz w:val="24"/>
          <w:szCs w:val="24"/>
        </w:rPr>
        <w:t>）</w:t>
      </w:r>
      <w:r>
        <w:rPr>
          <w:rFonts w:ascii="宋体" w:hAnsi="宋体"/>
          <w:snapToGrid w:val="0"/>
          <w:kern w:val="0"/>
          <w:sz w:val="24"/>
          <w:szCs w:val="24"/>
        </w:rPr>
        <w:t>废水</w:t>
      </w:r>
    </w:p>
    <w:p>
      <w:pPr>
        <w:pStyle w:val="21"/>
        <w:spacing w:after="0" w:line="420" w:lineRule="exact"/>
        <w:ind w:firstLine="706" w:firstLineChars="200"/>
        <w:rPr>
          <w:rFonts w:hint="eastAsia" w:ascii="宋体" w:hAnsi="宋体"/>
          <w:snapToGrid w:val="0"/>
          <w:kern w:val="0"/>
          <w:sz w:val="24"/>
          <w:szCs w:val="24"/>
          <w:lang w:val="zh-TW"/>
        </w:rPr>
      </w:pPr>
      <w:r>
        <w:rPr>
          <w:rFonts w:hint="eastAsia" w:ascii="宋体" w:hAnsi="宋体"/>
          <w:snapToGrid w:val="0"/>
          <w:kern w:val="0"/>
          <w:sz w:val="24"/>
          <w:szCs w:val="24"/>
          <w:lang w:val="zh-TW"/>
        </w:rPr>
        <w:t>项目洗车废水经隔油沉淀池处理、生活污水经化粪池预处理，均通过市政污水管网排至青岛崇杰环保平度</w:t>
      </w:r>
      <w:r>
        <w:rPr>
          <w:rFonts w:hint="eastAsia" w:ascii="宋体" w:hAnsi="宋体"/>
          <w:snapToGrid w:val="0"/>
          <w:kern w:val="0"/>
          <w:sz w:val="24"/>
          <w:szCs w:val="24"/>
        </w:rPr>
        <w:t>污水处理</w:t>
      </w:r>
      <w:r>
        <w:rPr>
          <w:rFonts w:hint="eastAsia" w:ascii="宋体" w:hAnsi="宋体"/>
          <w:snapToGrid w:val="0"/>
          <w:kern w:val="0"/>
          <w:sz w:val="24"/>
          <w:szCs w:val="24"/>
          <w:lang w:val="zh-TW"/>
        </w:rPr>
        <w:t>有限公司处理；化粪池、隔油池、污水管线等已进行防渗漏处理。</w:t>
      </w:r>
    </w:p>
    <w:p>
      <w:pPr>
        <w:pStyle w:val="21"/>
        <w:spacing w:after="0" w:line="420" w:lineRule="exact"/>
        <w:ind w:firstLine="706" w:firstLineChars="200"/>
        <w:rPr>
          <w:rFonts w:ascii="宋体" w:hAnsi="宋体"/>
          <w:snapToGrid w:val="0"/>
          <w:kern w:val="0"/>
          <w:sz w:val="24"/>
          <w:szCs w:val="24"/>
        </w:rPr>
      </w:pPr>
      <w:r>
        <w:rPr>
          <w:snapToGrid w:val="0"/>
          <w:kern w:val="0"/>
          <w:sz w:val="24"/>
          <w:szCs w:val="24"/>
        </w:rPr>
        <w:t>（</w:t>
      </w:r>
      <w:r>
        <w:rPr>
          <w:rFonts w:ascii="宋体" w:hAnsi="宋体"/>
          <w:snapToGrid w:val="0"/>
          <w:kern w:val="0"/>
          <w:sz w:val="24"/>
          <w:szCs w:val="24"/>
        </w:rPr>
        <w:t>二</w:t>
      </w:r>
      <w:r>
        <w:rPr>
          <w:snapToGrid w:val="0"/>
          <w:kern w:val="0"/>
          <w:sz w:val="24"/>
          <w:szCs w:val="24"/>
        </w:rPr>
        <w:t>）</w:t>
      </w:r>
      <w:r>
        <w:rPr>
          <w:rFonts w:ascii="宋体" w:hAnsi="宋体"/>
          <w:snapToGrid w:val="0"/>
          <w:kern w:val="0"/>
          <w:sz w:val="24"/>
          <w:szCs w:val="24"/>
        </w:rPr>
        <w:t>废气</w:t>
      </w:r>
    </w:p>
    <w:p>
      <w:pPr>
        <w:pStyle w:val="21"/>
        <w:spacing w:after="0" w:line="420" w:lineRule="exact"/>
        <w:ind w:firstLine="706" w:firstLineChars="200"/>
        <w:rPr>
          <w:rFonts w:ascii="宋体" w:hAnsi="宋体"/>
          <w:snapToGrid w:val="0"/>
          <w:sz w:val="24"/>
          <w:szCs w:val="24"/>
        </w:rPr>
      </w:pPr>
      <w:r>
        <w:rPr>
          <w:rFonts w:hint="eastAsia" w:ascii="宋体" w:hAnsi="宋体"/>
          <w:snapToGrid w:val="0"/>
          <w:sz w:val="24"/>
          <w:szCs w:val="24"/>
        </w:rPr>
        <w:t>项目废气主要是卸油过程、加油过程、储油罐呼吸中产生的废气，主要污染物为非甲烷总烃。该项目通过安装汽油一次、二次、三次油气回收系统降低废气的排放，三次回收系统设置1根4m高排气筒。</w:t>
      </w:r>
    </w:p>
    <w:p>
      <w:pPr>
        <w:pStyle w:val="21"/>
        <w:spacing w:after="0" w:line="420" w:lineRule="exact"/>
        <w:ind w:firstLine="706" w:firstLineChars="200"/>
        <w:rPr>
          <w:rFonts w:ascii="宋体" w:hAnsi="宋体"/>
          <w:snapToGrid w:val="0"/>
          <w:sz w:val="24"/>
          <w:szCs w:val="24"/>
        </w:rPr>
      </w:pPr>
      <w:r>
        <w:rPr>
          <w:snapToGrid w:val="0"/>
          <w:sz w:val="24"/>
          <w:szCs w:val="24"/>
        </w:rPr>
        <w:t>（</w:t>
      </w:r>
      <w:r>
        <w:rPr>
          <w:rFonts w:ascii="宋体" w:hAnsi="宋体"/>
          <w:snapToGrid w:val="0"/>
          <w:sz w:val="24"/>
          <w:szCs w:val="24"/>
        </w:rPr>
        <w:t>三</w:t>
      </w:r>
      <w:r>
        <w:rPr>
          <w:snapToGrid w:val="0"/>
          <w:sz w:val="24"/>
          <w:szCs w:val="24"/>
        </w:rPr>
        <w:t>）</w:t>
      </w:r>
      <w:r>
        <w:rPr>
          <w:rFonts w:ascii="宋体" w:hAnsi="宋体"/>
          <w:snapToGrid w:val="0"/>
          <w:kern w:val="0"/>
          <w:sz w:val="24"/>
          <w:szCs w:val="24"/>
        </w:rPr>
        <w:t>噪声</w:t>
      </w:r>
    </w:p>
    <w:p>
      <w:pPr>
        <w:pStyle w:val="21"/>
        <w:spacing w:after="0" w:line="420" w:lineRule="exact"/>
        <w:ind w:firstLine="706" w:firstLineChars="200"/>
        <w:rPr>
          <w:rFonts w:hint="eastAsia" w:ascii="宋体" w:hAnsi="宋体"/>
          <w:snapToGrid w:val="0"/>
          <w:sz w:val="24"/>
          <w:szCs w:val="24"/>
        </w:rPr>
      </w:pPr>
      <w:r>
        <w:rPr>
          <w:rFonts w:hint="eastAsia" w:ascii="宋体" w:hAnsi="宋体"/>
          <w:snapToGrid w:val="0"/>
          <w:sz w:val="24"/>
          <w:szCs w:val="24"/>
        </w:rPr>
        <w:t>项目噪声主要为加油机机泵运转和进出车辆等产生的噪声。企业选用低噪声设备，并采取封闭隔声、消声和减振等措施，降低噪声的影响。</w:t>
      </w:r>
    </w:p>
    <w:p>
      <w:pPr>
        <w:pStyle w:val="21"/>
        <w:spacing w:after="0" w:line="420" w:lineRule="exact"/>
        <w:ind w:firstLine="706" w:firstLineChars="200"/>
        <w:rPr>
          <w:rFonts w:ascii="宋体" w:hAnsi="宋体"/>
          <w:snapToGrid w:val="0"/>
          <w:kern w:val="0"/>
          <w:sz w:val="24"/>
          <w:szCs w:val="24"/>
        </w:rPr>
      </w:pPr>
      <w:r>
        <w:rPr>
          <w:snapToGrid w:val="0"/>
          <w:kern w:val="0"/>
          <w:sz w:val="24"/>
          <w:szCs w:val="24"/>
        </w:rPr>
        <w:t>（</w:t>
      </w:r>
      <w:r>
        <w:rPr>
          <w:rFonts w:ascii="宋体" w:hAnsi="宋体"/>
          <w:snapToGrid w:val="0"/>
          <w:kern w:val="0"/>
          <w:sz w:val="24"/>
          <w:szCs w:val="24"/>
        </w:rPr>
        <w:t>四</w:t>
      </w:r>
      <w:r>
        <w:rPr>
          <w:snapToGrid w:val="0"/>
          <w:kern w:val="0"/>
          <w:sz w:val="24"/>
          <w:szCs w:val="24"/>
        </w:rPr>
        <w:t>）</w:t>
      </w:r>
      <w:r>
        <w:rPr>
          <w:rFonts w:ascii="宋体" w:hAnsi="宋体"/>
          <w:snapToGrid w:val="0"/>
          <w:kern w:val="0"/>
          <w:sz w:val="24"/>
          <w:szCs w:val="24"/>
        </w:rPr>
        <w:t>固废</w:t>
      </w:r>
    </w:p>
    <w:p>
      <w:pPr>
        <w:pStyle w:val="21"/>
        <w:spacing w:after="0" w:line="420" w:lineRule="exact"/>
        <w:ind w:firstLine="706" w:firstLineChars="200"/>
        <w:rPr>
          <w:rFonts w:hint="eastAsia" w:ascii="宋体" w:hAnsi="宋体"/>
          <w:snapToGrid w:val="0"/>
          <w:kern w:val="0"/>
          <w:sz w:val="24"/>
          <w:szCs w:val="24"/>
        </w:rPr>
      </w:pPr>
      <w:r>
        <w:rPr>
          <w:rFonts w:hint="eastAsia" w:ascii="宋体" w:hAnsi="宋体"/>
          <w:snapToGrid w:val="0"/>
          <w:kern w:val="0"/>
          <w:sz w:val="24"/>
          <w:szCs w:val="24"/>
        </w:rPr>
        <w:t>项目固体废物包括一般固废和危险废物。一般固废为生活垃圾，集中收集后由当地环卫部门定期清运；定期清罐产生的废油渣、隔油池沉渣属危险废物，均暂存站内危废库，定期委托山东万洁环保科技有限公司处置。</w:t>
      </w:r>
    </w:p>
    <w:p>
      <w:pPr>
        <w:pStyle w:val="21"/>
        <w:spacing w:after="0" w:line="420" w:lineRule="exact"/>
        <w:ind w:firstLine="706" w:firstLineChars="200"/>
        <w:rPr>
          <w:rFonts w:ascii="宋体" w:hAnsi="宋体"/>
          <w:snapToGrid w:val="0"/>
          <w:kern w:val="0"/>
          <w:sz w:val="24"/>
          <w:szCs w:val="24"/>
        </w:rPr>
      </w:pPr>
      <w:r>
        <w:rPr>
          <w:snapToGrid w:val="0"/>
          <w:kern w:val="0"/>
          <w:sz w:val="24"/>
          <w:szCs w:val="24"/>
        </w:rPr>
        <w:t>（</w:t>
      </w:r>
      <w:r>
        <w:rPr>
          <w:rFonts w:ascii="宋体" w:hAnsi="宋体"/>
          <w:snapToGrid w:val="0"/>
          <w:kern w:val="0"/>
          <w:sz w:val="24"/>
          <w:szCs w:val="24"/>
        </w:rPr>
        <w:t>五</w:t>
      </w:r>
      <w:r>
        <w:rPr>
          <w:snapToGrid w:val="0"/>
          <w:kern w:val="0"/>
          <w:sz w:val="24"/>
          <w:szCs w:val="24"/>
        </w:rPr>
        <w:t>）</w:t>
      </w:r>
      <w:r>
        <w:rPr>
          <w:rFonts w:ascii="宋体" w:hAnsi="宋体"/>
          <w:snapToGrid w:val="0"/>
          <w:kern w:val="0"/>
          <w:sz w:val="24"/>
          <w:szCs w:val="24"/>
        </w:rPr>
        <w:t>环境风险</w:t>
      </w:r>
    </w:p>
    <w:p>
      <w:pPr>
        <w:pStyle w:val="21"/>
        <w:spacing w:after="0" w:line="420" w:lineRule="exact"/>
        <w:ind w:firstLine="706" w:firstLineChars="200"/>
        <w:rPr>
          <w:rFonts w:ascii="宋体" w:hAnsi="宋体"/>
          <w:snapToGrid w:val="0"/>
          <w:sz w:val="24"/>
          <w:szCs w:val="24"/>
        </w:rPr>
      </w:pPr>
      <w:r>
        <w:rPr>
          <w:rFonts w:hint="eastAsia" w:ascii="宋体" w:hAnsi="宋体"/>
          <w:snapToGrid w:val="0"/>
          <w:kern w:val="0"/>
          <w:sz w:val="24"/>
          <w:szCs w:val="24"/>
        </w:rPr>
        <w:t>本项目主要的环境风险为油气回收处理系统故障导致油气超标排放；油品泄漏发生火灾爆炸事故次生环境污染事故。针对以上情况，企业将油罐全部更换为双层罐，并安装双层罐渗漏检测仪、双层管道渗漏检测仪等，严禁在项目区附近吸烟，配置了应急物资灭火器、消防锨、消防沙池等，加油区及管道和路面进行了硬化防渗处理，防止油品泄漏或渗漏对周围环境造成污染，同时，编制了《青岛壳牌石油有限公司平度市深圳路加油站加油站项目突发环境事件应急预案》，并报当地环保部门备案（备案号：370283-20191219-166-L）</w:t>
      </w:r>
      <w:r>
        <w:rPr>
          <w:snapToGrid w:val="0"/>
          <w:kern w:val="0"/>
          <w:sz w:val="24"/>
          <w:szCs w:val="24"/>
        </w:rPr>
        <w:t>。</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四</w:t>
      </w:r>
      <w:r>
        <w:rPr>
          <w:b/>
          <w:bCs/>
          <w:snapToGrid w:val="0"/>
          <w:kern w:val="0"/>
          <w:sz w:val="24"/>
          <w:szCs w:val="24"/>
        </w:rPr>
        <w:t>、</w:t>
      </w:r>
      <w:r>
        <w:rPr>
          <w:rFonts w:ascii="宋体" w:hAnsi="宋体"/>
          <w:b/>
          <w:bCs/>
          <w:snapToGrid w:val="0"/>
          <w:kern w:val="0"/>
          <w:sz w:val="24"/>
          <w:szCs w:val="24"/>
        </w:rPr>
        <w:t>环保措施调试效果</w:t>
      </w:r>
    </w:p>
    <w:p>
      <w:pPr>
        <w:pStyle w:val="21"/>
        <w:spacing w:after="0" w:line="420" w:lineRule="exact"/>
        <w:ind w:firstLine="706" w:firstLineChars="200"/>
        <w:rPr>
          <w:rFonts w:ascii="宋体" w:hAnsi="宋体"/>
          <w:snapToGrid w:val="0"/>
          <w:kern w:val="0"/>
          <w:sz w:val="24"/>
          <w:szCs w:val="24"/>
        </w:rPr>
      </w:pPr>
      <w:r>
        <w:rPr>
          <w:rFonts w:ascii="宋体" w:hAnsi="宋体"/>
          <w:snapToGrid w:val="0"/>
          <w:kern w:val="0"/>
          <w:sz w:val="24"/>
          <w:szCs w:val="24"/>
        </w:rPr>
        <w:t>青岛壳牌石油有限公司平度市深圳路加油站验收监测报告表明</w:t>
      </w:r>
      <w:r>
        <w:rPr>
          <w:snapToGrid w:val="0"/>
          <w:kern w:val="0"/>
          <w:sz w:val="24"/>
          <w:szCs w:val="24"/>
        </w:rPr>
        <w:t>，</w:t>
      </w:r>
      <w:r>
        <w:rPr>
          <w:rFonts w:ascii="宋体" w:hAnsi="宋体"/>
          <w:snapToGrid w:val="0"/>
          <w:sz w:val="24"/>
          <w:szCs w:val="24"/>
        </w:rPr>
        <w:t>验收监测期间</w:t>
      </w:r>
      <w:r>
        <w:rPr>
          <w:snapToGrid w:val="0"/>
          <w:sz w:val="24"/>
          <w:szCs w:val="24"/>
        </w:rPr>
        <w:t>：</w:t>
      </w:r>
    </w:p>
    <w:p>
      <w:pPr>
        <w:pStyle w:val="21"/>
        <w:spacing w:after="0" w:line="420" w:lineRule="exact"/>
        <w:ind w:firstLine="706" w:firstLineChars="200"/>
        <w:rPr>
          <w:rFonts w:ascii="宋体" w:hAnsi="宋体"/>
          <w:sz w:val="24"/>
          <w:szCs w:val="24"/>
        </w:rPr>
      </w:pPr>
      <w:r>
        <w:rPr>
          <w:rFonts w:ascii="宋体" w:hAnsi="宋体"/>
          <w:sz w:val="24"/>
          <w:szCs w:val="24"/>
        </w:rPr>
        <w:t>1</w:t>
      </w:r>
      <w:r>
        <w:rPr>
          <w:sz w:val="24"/>
          <w:szCs w:val="24"/>
        </w:rPr>
        <w:t>、</w:t>
      </w:r>
      <w:r>
        <w:rPr>
          <w:rFonts w:ascii="宋体" w:hAnsi="宋体"/>
          <w:snapToGrid w:val="0"/>
          <w:kern w:val="0"/>
          <w:sz w:val="24"/>
          <w:szCs w:val="24"/>
        </w:rPr>
        <w:t>废气</w:t>
      </w:r>
    </w:p>
    <w:p>
      <w:pPr>
        <w:pStyle w:val="21"/>
        <w:spacing w:after="0" w:line="420" w:lineRule="exact"/>
        <w:ind w:firstLine="706" w:firstLineChars="200"/>
        <w:rPr>
          <w:rFonts w:hint="eastAsia"/>
          <w:snapToGrid w:val="0"/>
          <w:sz w:val="24"/>
          <w:szCs w:val="24"/>
        </w:rPr>
      </w:pPr>
      <w:r>
        <w:rPr>
          <w:rFonts w:hint="eastAsia" w:ascii="宋体" w:hAnsi="宋体"/>
          <w:snapToGrid w:val="0"/>
          <w:sz w:val="24"/>
          <w:szCs w:val="24"/>
        </w:rPr>
        <w:t>验收监测期间</w:t>
      </w:r>
      <w:r>
        <w:rPr>
          <w:rFonts w:hint="eastAsia"/>
          <w:snapToGrid w:val="0"/>
          <w:sz w:val="24"/>
          <w:szCs w:val="24"/>
        </w:rPr>
        <w:t>，项目</w:t>
      </w:r>
      <w:r>
        <w:rPr>
          <w:rFonts w:hint="eastAsia" w:ascii="宋体" w:hAnsi="宋体"/>
          <w:snapToGrid w:val="0"/>
          <w:kern w:val="0"/>
          <w:sz w:val="24"/>
          <w:szCs w:val="24"/>
        </w:rPr>
        <w:t>加油站</w:t>
      </w:r>
      <w:r>
        <w:rPr>
          <w:rFonts w:hint="eastAsia"/>
          <w:snapToGrid w:val="0"/>
          <w:sz w:val="24"/>
          <w:szCs w:val="24"/>
        </w:rPr>
        <w:t>油气回收系统密闭性、液阻、气液比、油气排放浓度均符合</w:t>
      </w:r>
      <w:r>
        <w:rPr>
          <w:rFonts w:hint="eastAsia" w:ascii="宋体" w:hAnsi="宋体"/>
          <w:snapToGrid w:val="0"/>
          <w:kern w:val="0"/>
          <w:sz w:val="24"/>
          <w:szCs w:val="24"/>
        </w:rPr>
        <w:t>《加油站大气污染物排放标准》</w:t>
      </w:r>
      <w:r>
        <w:rPr>
          <w:rFonts w:hint="eastAsia"/>
          <w:snapToGrid w:val="0"/>
          <w:sz w:val="24"/>
          <w:szCs w:val="24"/>
        </w:rPr>
        <w:t>（GB20952-2007）的要求。</w:t>
      </w:r>
    </w:p>
    <w:p>
      <w:pPr>
        <w:pStyle w:val="21"/>
        <w:spacing w:after="0" w:line="420" w:lineRule="exact"/>
        <w:ind w:firstLine="706" w:firstLineChars="200"/>
        <w:rPr>
          <w:rFonts w:hint="eastAsia" w:ascii="宋体" w:hAnsi="宋体"/>
          <w:snapToGrid w:val="0"/>
          <w:sz w:val="24"/>
          <w:szCs w:val="24"/>
        </w:rPr>
      </w:pPr>
      <w:r>
        <w:rPr>
          <w:rFonts w:hint="eastAsia" w:ascii="宋体" w:hAnsi="宋体"/>
          <w:snapToGrid w:val="0"/>
          <w:sz w:val="24"/>
          <w:szCs w:val="24"/>
        </w:rPr>
        <w:t>无组织排放废气厂界监控点非甲烷总烃浓度满足性有机物排放标准 第7部分：其他行业》（DB37/2801.7-2019）表2相关标准要求。</w:t>
      </w:r>
    </w:p>
    <w:p>
      <w:pPr>
        <w:pStyle w:val="21"/>
        <w:spacing w:after="0" w:line="420" w:lineRule="exact"/>
        <w:ind w:firstLine="706" w:firstLineChars="200"/>
        <w:rPr>
          <w:rFonts w:ascii="宋体" w:hAnsi="宋体"/>
          <w:sz w:val="24"/>
          <w:szCs w:val="24"/>
        </w:rPr>
      </w:pPr>
      <w:r>
        <w:rPr>
          <w:rFonts w:ascii="宋体" w:hAnsi="宋体"/>
          <w:sz w:val="24"/>
          <w:szCs w:val="24"/>
        </w:rPr>
        <w:t>2</w:t>
      </w:r>
      <w:r>
        <w:rPr>
          <w:sz w:val="24"/>
          <w:szCs w:val="24"/>
        </w:rPr>
        <w:t>、</w:t>
      </w:r>
      <w:r>
        <w:rPr>
          <w:rFonts w:ascii="宋体" w:hAnsi="宋体"/>
          <w:snapToGrid w:val="0"/>
          <w:kern w:val="0"/>
          <w:sz w:val="24"/>
          <w:szCs w:val="24"/>
        </w:rPr>
        <w:t>噪声</w:t>
      </w:r>
    </w:p>
    <w:p>
      <w:pPr>
        <w:pStyle w:val="21"/>
        <w:spacing w:after="0" w:line="420" w:lineRule="exact"/>
        <w:ind w:firstLine="706" w:firstLineChars="200"/>
        <w:rPr>
          <w:rFonts w:ascii="宋体" w:hAnsi="宋体"/>
          <w:snapToGrid w:val="0"/>
          <w:sz w:val="24"/>
          <w:szCs w:val="24"/>
        </w:rPr>
      </w:pPr>
      <w:r>
        <w:rPr>
          <w:rFonts w:ascii="宋体" w:hAnsi="宋体"/>
          <w:snapToGrid w:val="0"/>
          <w:sz w:val="24"/>
          <w:szCs w:val="24"/>
        </w:rPr>
        <w:t>验收监测</w:t>
      </w:r>
      <w:r>
        <w:rPr>
          <w:rFonts w:ascii="宋体" w:hAnsi="宋体"/>
          <w:snapToGrid w:val="0"/>
          <w:kern w:val="0"/>
          <w:sz w:val="24"/>
          <w:szCs w:val="24"/>
        </w:rPr>
        <w:t>期间</w:t>
      </w:r>
      <w:r>
        <w:rPr>
          <w:snapToGrid w:val="0"/>
          <w:sz w:val="24"/>
          <w:szCs w:val="24"/>
        </w:rPr>
        <w:t>，</w:t>
      </w:r>
      <w:r>
        <w:rPr>
          <w:rFonts w:hint="eastAsia" w:ascii="宋体" w:hAnsi="宋体"/>
          <w:snapToGrid w:val="0"/>
          <w:sz w:val="24"/>
          <w:szCs w:val="24"/>
          <w:lang w:val="zh-TW"/>
        </w:rPr>
        <w:t>南厂界（邻深圳路）昼夜噪声满足《工业企业厂界环境噪声排放标准》（GB12348-2008）表1中4类声</w:t>
      </w:r>
      <w:r>
        <w:rPr>
          <w:rFonts w:hint="eastAsia" w:ascii="宋体" w:hAnsi="宋体"/>
          <w:snapToGrid w:val="0"/>
          <w:kern w:val="0"/>
          <w:sz w:val="24"/>
          <w:szCs w:val="24"/>
        </w:rPr>
        <w:t>环境</w:t>
      </w:r>
      <w:r>
        <w:rPr>
          <w:rFonts w:hint="eastAsia" w:ascii="宋体" w:hAnsi="宋体"/>
          <w:snapToGrid w:val="0"/>
          <w:sz w:val="24"/>
          <w:szCs w:val="24"/>
          <w:lang w:val="zh-TW"/>
        </w:rPr>
        <w:t>功能区标准要求；东、西南、西北厂界昼夜噪声满足《工业企业厂界环境噪声排放标准》（GB12348-2008）表1中2类声环境功能区标准要求。</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五</w:t>
      </w:r>
      <w:r>
        <w:rPr>
          <w:b/>
          <w:bCs/>
          <w:snapToGrid w:val="0"/>
          <w:kern w:val="0"/>
          <w:sz w:val="24"/>
          <w:szCs w:val="24"/>
        </w:rPr>
        <w:t>、</w:t>
      </w:r>
      <w:r>
        <w:rPr>
          <w:rFonts w:ascii="宋体" w:hAnsi="宋体"/>
          <w:b/>
          <w:bCs/>
          <w:snapToGrid w:val="0"/>
          <w:kern w:val="0"/>
          <w:sz w:val="24"/>
          <w:szCs w:val="24"/>
        </w:rPr>
        <w:t>验收结论</w:t>
      </w:r>
    </w:p>
    <w:p>
      <w:pPr>
        <w:pStyle w:val="21"/>
        <w:spacing w:after="0" w:line="420" w:lineRule="exact"/>
        <w:ind w:firstLine="706" w:firstLineChars="200"/>
        <w:rPr>
          <w:rFonts w:ascii="宋体" w:hAnsi="宋体"/>
          <w:snapToGrid w:val="0"/>
          <w:sz w:val="24"/>
          <w:szCs w:val="24"/>
        </w:rPr>
      </w:pPr>
      <w:r>
        <w:rPr>
          <w:rFonts w:ascii="宋体" w:hAnsi="宋体"/>
          <w:snapToGrid w:val="0"/>
          <w:sz w:val="24"/>
          <w:szCs w:val="24"/>
        </w:rPr>
        <w:t>项目已按环评和批复</w:t>
      </w:r>
      <w:r>
        <w:rPr>
          <w:rFonts w:ascii="宋体" w:hAnsi="宋体"/>
          <w:snapToGrid w:val="0"/>
          <w:kern w:val="0"/>
          <w:sz w:val="24"/>
          <w:szCs w:val="24"/>
        </w:rPr>
        <w:t>要求</w:t>
      </w:r>
      <w:r>
        <w:rPr>
          <w:rFonts w:ascii="宋体" w:hAnsi="宋体"/>
          <w:snapToGrid w:val="0"/>
          <w:sz w:val="24"/>
          <w:szCs w:val="24"/>
        </w:rPr>
        <w:t>完成</w:t>
      </w:r>
      <w:r>
        <w:rPr>
          <w:snapToGrid w:val="0"/>
          <w:sz w:val="24"/>
          <w:szCs w:val="24"/>
        </w:rPr>
        <w:t>“</w:t>
      </w:r>
      <w:r>
        <w:rPr>
          <w:rFonts w:ascii="宋体" w:hAnsi="宋体"/>
          <w:snapToGrid w:val="0"/>
          <w:sz w:val="24"/>
          <w:szCs w:val="24"/>
        </w:rPr>
        <w:t>三同时</w:t>
      </w:r>
      <w:r>
        <w:rPr>
          <w:snapToGrid w:val="0"/>
          <w:sz w:val="24"/>
          <w:szCs w:val="24"/>
        </w:rPr>
        <w:t>”</w:t>
      </w:r>
      <w:r>
        <w:rPr>
          <w:rFonts w:ascii="宋体" w:hAnsi="宋体"/>
          <w:snapToGrid w:val="0"/>
          <w:sz w:val="24"/>
          <w:szCs w:val="24"/>
        </w:rPr>
        <w:t>建设</w:t>
      </w:r>
      <w:r>
        <w:rPr>
          <w:snapToGrid w:val="0"/>
          <w:sz w:val="24"/>
          <w:szCs w:val="24"/>
        </w:rPr>
        <w:t>，</w:t>
      </w:r>
      <w:r>
        <w:rPr>
          <w:rFonts w:ascii="宋体" w:hAnsi="宋体"/>
          <w:snapToGrid w:val="0"/>
          <w:sz w:val="24"/>
          <w:szCs w:val="24"/>
        </w:rPr>
        <w:t>无重大变动</w:t>
      </w:r>
      <w:r>
        <w:rPr>
          <w:snapToGrid w:val="0"/>
          <w:sz w:val="24"/>
          <w:szCs w:val="24"/>
        </w:rPr>
        <w:t>，</w:t>
      </w:r>
      <w:r>
        <w:rPr>
          <w:rFonts w:ascii="宋体" w:hAnsi="宋体"/>
          <w:snapToGrid w:val="0"/>
          <w:sz w:val="24"/>
          <w:szCs w:val="24"/>
        </w:rPr>
        <w:t>污染物达标排放</w:t>
      </w:r>
      <w:r>
        <w:rPr>
          <w:snapToGrid w:val="0"/>
          <w:sz w:val="24"/>
          <w:szCs w:val="24"/>
        </w:rPr>
        <w:t>，</w:t>
      </w:r>
      <w:r>
        <w:rPr>
          <w:rFonts w:ascii="宋体" w:hAnsi="宋体"/>
          <w:snapToGrid w:val="0"/>
          <w:sz w:val="24"/>
          <w:szCs w:val="24"/>
        </w:rPr>
        <w:t>验收监测报告结论可信</w:t>
      </w:r>
      <w:r>
        <w:rPr>
          <w:snapToGrid w:val="0"/>
          <w:sz w:val="24"/>
          <w:szCs w:val="24"/>
        </w:rPr>
        <w:t>，</w:t>
      </w:r>
      <w:r>
        <w:rPr>
          <w:rFonts w:ascii="宋体" w:hAnsi="宋体"/>
          <w:snapToGrid w:val="0"/>
          <w:sz w:val="24"/>
          <w:szCs w:val="24"/>
        </w:rPr>
        <w:t>验收合格</w:t>
      </w:r>
      <w:r>
        <w:rPr>
          <w:snapToGrid w:val="0"/>
          <w:sz w:val="24"/>
          <w:szCs w:val="24"/>
        </w:rPr>
        <w:t>。</w:t>
      </w:r>
    </w:p>
    <w:p>
      <w:pPr>
        <w:pStyle w:val="21"/>
        <w:spacing w:after="0" w:line="420" w:lineRule="exact"/>
        <w:ind w:firstLine="706" w:firstLineChars="200"/>
        <w:rPr>
          <w:rFonts w:ascii="宋体" w:hAnsi="宋体"/>
          <w:b/>
          <w:bCs/>
          <w:snapToGrid w:val="0"/>
          <w:kern w:val="0"/>
          <w:sz w:val="24"/>
          <w:szCs w:val="24"/>
        </w:rPr>
      </w:pPr>
      <w:r>
        <w:rPr>
          <w:rFonts w:ascii="宋体" w:hAnsi="宋体"/>
          <w:b/>
          <w:bCs/>
          <w:snapToGrid w:val="0"/>
          <w:kern w:val="0"/>
          <w:sz w:val="24"/>
          <w:szCs w:val="24"/>
        </w:rPr>
        <w:t>六</w:t>
      </w:r>
      <w:r>
        <w:rPr>
          <w:b/>
          <w:bCs/>
          <w:snapToGrid w:val="0"/>
          <w:kern w:val="0"/>
          <w:sz w:val="24"/>
          <w:szCs w:val="24"/>
        </w:rPr>
        <w:t>、</w:t>
      </w:r>
      <w:r>
        <w:rPr>
          <w:rFonts w:ascii="宋体" w:hAnsi="宋体"/>
          <w:b/>
          <w:bCs/>
          <w:snapToGrid w:val="0"/>
          <w:kern w:val="0"/>
          <w:sz w:val="24"/>
          <w:szCs w:val="24"/>
        </w:rPr>
        <w:t>后续要求</w:t>
      </w:r>
    </w:p>
    <w:p>
      <w:pPr>
        <w:pStyle w:val="21"/>
        <w:spacing w:after="0" w:line="420" w:lineRule="exact"/>
        <w:ind w:firstLine="706" w:firstLineChars="200"/>
        <w:rPr>
          <w:rFonts w:ascii="宋体" w:hAnsi="宋体"/>
          <w:snapToGrid w:val="0"/>
          <w:sz w:val="24"/>
          <w:szCs w:val="24"/>
        </w:rPr>
      </w:pPr>
      <w:r>
        <w:rPr>
          <w:rFonts w:hint="eastAsia"/>
          <w:snapToGrid w:val="0"/>
          <w:sz w:val="24"/>
          <w:szCs w:val="24"/>
        </w:rPr>
        <w:t>1、</w:t>
      </w:r>
      <w:r>
        <w:rPr>
          <w:rFonts w:ascii="宋体" w:hAnsi="宋体"/>
          <w:snapToGrid w:val="0"/>
          <w:sz w:val="24"/>
          <w:szCs w:val="24"/>
        </w:rPr>
        <w:t>加强对污染防治</w:t>
      </w:r>
      <w:r>
        <w:rPr>
          <w:rFonts w:ascii="宋体" w:hAnsi="宋体"/>
          <w:snapToGrid w:val="0"/>
          <w:kern w:val="0"/>
          <w:sz w:val="24"/>
          <w:szCs w:val="24"/>
        </w:rPr>
        <w:t>设施</w:t>
      </w:r>
      <w:r>
        <w:rPr>
          <w:rFonts w:ascii="宋体" w:hAnsi="宋体"/>
          <w:snapToGrid w:val="0"/>
          <w:sz w:val="24"/>
          <w:szCs w:val="24"/>
        </w:rPr>
        <w:t>运行</w:t>
      </w:r>
      <w:r>
        <w:rPr>
          <w:snapToGrid w:val="0"/>
          <w:sz w:val="24"/>
          <w:szCs w:val="24"/>
        </w:rPr>
        <w:t>、</w:t>
      </w:r>
      <w:r>
        <w:rPr>
          <w:rFonts w:ascii="宋体" w:hAnsi="宋体"/>
          <w:snapToGrid w:val="0"/>
          <w:sz w:val="24"/>
          <w:szCs w:val="24"/>
        </w:rPr>
        <w:t>维护的管理</w:t>
      </w:r>
      <w:r>
        <w:rPr>
          <w:snapToGrid w:val="0"/>
          <w:sz w:val="24"/>
          <w:szCs w:val="24"/>
        </w:rPr>
        <w:t>，</w:t>
      </w:r>
      <w:r>
        <w:rPr>
          <w:rFonts w:ascii="宋体" w:hAnsi="宋体"/>
          <w:snapToGrid w:val="0"/>
          <w:sz w:val="24"/>
          <w:szCs w:val="24"/>
        </w:rPr>
        <w:t>并做好记录</w:t>
      </w:r>
      <w:r>
        <w:rPr>
          <w:snapToGrid w:val="0"/>
          <w:sz w:val="24"/>
          <w:szCs w:val="24"/>
        </w:rPr>
        <w:t>，</w:t>
      </w:r>
      <w:r>
        <w:rPr>
          <w:rFonts w:ascii="宋体" w:hAnsi="宋体"/>
          <w:snapToGrid w:val="0"/>
          <w:sz w:val="24"/>
          <w:szCs w:val="24"/>
        </w:rPr>
        <w:t>确保环境保护设施正常运转</w:t>
      </w:r>
      <w:r>
        <w:rPr>
          <w:snapToGrid w:val="0"/>
          <w:sz w:val="24"/>
          <w:szCs w:val="24"/>
        </w:rPr>
        <w:t>，</w:t>
      </w:r>
      <w:r>
        <w:rPr>
          <w:rFonts w:ascii="宋体" w:hAnsi="宋体"/>
          <w:snapToGrid w:val="0"/>
          <w:sz w:val="24"/>
          <w:szCs w:val="24"/>
        </w:rPr>
        <w:t>废气污染物稳定达标排放</w:t>
      </w:r>
      <w:r>
        <w:rPr>
          <w:snapToGrid w:val="0"/>
          <w:sz w:val="24"/>
          <w:szCs w:val="24"/>
        </w:rPr>
        <w:t>。</w:t>
      </w:r>
    </w:p>
    <w:p>
      <w:pPr>
        <w:pStyle w:val="21"/>
        <w:spacing w:after="0" w:line="420" w:lineRule="exact"/>
        <w:ind w:firstLine="706" w:firstLineChars="200"/>
        <w:rPr>
          <w:rFonts w:ascii="宋体" w:hAnsi="宋体"/>
          <w:snapToGrid w:val="0"/>
          <w:sz w:val="24"/>
          <w:szCs w:val="24"/>
        </w:rPr>
      </w:pPr>
      <w:r>
        <w:rPr>
          <w:rFonts w:hint="eastAsia" w:ascii="宋体" w:hAnsi="宋体"/>
          <w:snapToGrid w:val="0"/>
          <w:sz w:val="24"/>
          <w:szCs w:val="24"/>
        </w:rPr>
        <w:t>2</w:t>
      </w:r>
      <w:r>
        <w:rPr>
          <w:snapToGrid w:val="0"/>
          <w:sz w:val="24"/>
          <w:szCs w:val="24"/>
        </w:rPr>
        <w:t>、</w:t>
      </w:r>
      <w:r>
        <w:rPr>
          <w:rFonts w:ascii="宋体" w:hAnsi="宋体"/>
          <w:snapToGrid w:val="0"/>
          <w:sz w:val="24"/>
          <w:szCs w:val="24"/>
        </w:rPr>
        <w:t>按照</w:t>
      </w:r>
      <w:r>
        <w:rPr>
          <w:rFonts w:ascii="宋体" w:hAnsi="宋体"/>
          <w:snapToGrid w:val="0"/>
          <w:kern w:val="0"/>
          <w:sz w:val="24"/>
          <w:szCs w:val="24"/>
        </w:rPr>
        <w:t>《排污单位自行监测技术指南-总则》</w:t>
      </w:r>
      <w:r>
        <w:rPr>
          <w:rFonts w:ascii="宋体" w:hAnsi="宋体"/>
          <w:snapToGrid w:val="0"/>
          <w:sz w:val="24"/>
          <w:szCs w:val="24"/>
        </w:rPr>
        <w:t>(HJ819-2017)要求</w:t>
      </w:r>
      <w:r>
        <w:rPr>
          <w:snapToGrid w:val="0"/>
          <w:sz w:val="24"/>
          <w:szCs w:val="24"/>
        </w:rPr>
        <w:t>，</w:t>
      </w:r>
      <w:r>
        <w:rPr>
          <w:rFonts w:ascii="宋体" w:hAnsi="宋体"/>
          <w:snapToGrid w:val="0"/>
          <w:sz w:val="24"/>
          <w:szCs w:val="24"/>
        </w:rPr>
        <w:t>自主组织进行污染源监测</w:t>
      </w:r>
      <w:r>
        <w:rPr>
          <w:snapToGrid w:val="0"/>
          <w:sz w:val="24"/>
          <w:szCs w:val="24"/>
        </w:rPr>
        <w:t>，</w:t>
      </w:r>
      <w:r>
        <w:rPr>
          <w:rFonts w:ascii="宋体" w:hAnsi="宋体"/>
          <w:snapToGrid w:val="0"/>
          <w:sz w:val="24"/>
          <w:szCs w:val="24"/>
        </w:rPr>
        <w:t>并做好记录</w:t>
      </w:r>
      <w:r>
        <w:rPr>
          <w:snapToGrid w:val="0"/>
          <w:sz w:val="24"/>
          <w:szCs w:val="24"/>
        </w:rPr>
        <w:t>。</w:t>
      </w:r>
    </w:p>
    <w:p>
      <w:pPr>
        <w:pStyle w:val="21"/>
        <w:spacing w:after="0" w:line="420" w:lineRule="exact"/>
        <w:ind w:firstLine="706" w:firstLineChars="200"/>
        <w:outlineLvl w:val="0"/>
        <w:rPr>
          <w:rFonts w:ascii="宋体" w:hAnsi="宋体"/>
          <w:sz w:val="24"/>
          <w:szCs w:val="24"/>
        </w:rPr>
      </w:pPr>
      <w:r>
        <w:rPr>
          <w:rFonts w:hint="eastAsia" w:ascii="宋体" w:hAnsi="宋体" w:cs="宋体"/>
          <w:b/>
          <w:bCs/>
          <w:snapToGrid w:val="0"/>
          <w:sz w:val="24"/>
          <w:szCs w:val="24"/>
        </w:rPr>
        <w:t>七</w:t>
      </w:r>
      <w:r>
        <w:rPr>
          <w:rFonts w:hint="eastAsia" w:ascii="宋体" w:cs="宋体"/>
          <w:b/>
          <w:bCs/>
          <w:snapToGrid w:val="0"/>
          <w:sz w:val="24"/>
          <w:szCs w:val="24"/>
        </w:rPr>
        <w:t>、</w:t>
      </w:r>
      <w:r>
        <w:rPr>
          <w:rFonts w:hint="eastAsia" w:ascii="宋体" w:hAnsi="宋体" w:cs="宋体"/>
          <w:b/>
          <w:bCs/>
          <w:snapToGrid w:val="0"/>
          <w:sz w:val="24"/>
          <w:szCs w:val="24"/>
        </w:rPr>
        <w:t>验收人员信息</w:t>
      </w:r>
    </w:p>
    <w:tbl>
      <w:tblPr>
        <w:tblStyle w:val="22"/>
        <w:tblW w:w="9592" w:type="dxa"/>
        <w:jc w:val="center"/>
        <w:tblLayout w:type="fixed"/>
        <w:tblCellMar>
          <w:top w:w="0" w:type="dxa"/>
          <w:left w:w="51" w:type="dxa"/>
          <w:bottom w:w="0" w:type="dxa"/>
          <w:right w:w="51" w:type="dxa"/>
        </w:tblCellMar>
      </w:tblPr>
      <w:tblGrid>
        <w:gridCol w:w="627"/>
        <w:gridCol w:w="1204"/>
        <w:gridCol w:w="977"/>
        <w:gridCol w:w="3541"/>
        <w:gridCol w:w="1087"/>
        <w:gridCol w:w="2156"/>
      </w:tblGrid>
      <w:tr>
        <w:tblPrEx>
          <w:tblCellMar>
            <w:top w:w="0" w:type="dxa"/>
            <w:left w:w="51" w:type="dxa"/>
            <w:bottom w:w="0" w:type="dxa"/>
            <w:right w:w="51" w:type="dxa"/>
          </w:tblCellMar>
        </w:tblPrEx>
        <w:trPr>
          <w:trHeight w:val="737" w:hRule="atLeast"/>
          <w:jc w:val="center"/>
        </w:trPr>
        <w:tc>
          <w:tcPr>
            <w:tcW w:w="183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b/>
                <w:bCs/>
                <w:snapToGrid w:val="0"/>
                <w:kern w:val="0"/>
                <w:sz w:val="24"/>
                <w:szCs w:val="24"/>
              </w:rPr>
              <w:t>验收组</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b/>
                <w:bCs/>
                <w:snapToGrid w:val="0"/>
                <w:kern w:val="0"/>
                <w:sz w:val="24"/>
                <w:szCs w:val="24"/>
              </w:rPr>
              <w:t>姓</w:t>
            </w:r>
            <w:r>
              <w:rPr>
                <w:rFonts w:ascii="宋体" w:hAnsi="宋体" w:cs="宋体"/>
                <w:b/>
                <w:bCs/>
                <w:snapToGrid w:val="0"/>
                <w:kern w:val="0"/>
                <w:sz w:val="24"/>
                <w:szCs w:val="24"/>
              </w:rPr>
              <w:t xml:space="preserve">  </w:t>
            </w:r>
            <w:r>
              <w:rPr>
                <w:rFonts w:hint="eastAsia" w:ascii="宋体" w:hAnsi="宋体" w:cs="宋体"/>
                <w:b/>
                <w:bCs/>
                <w:snapToGrid w:val="0"/>
                <w:kern w:val="0"/>
                <w:sz w:val="24"/>
                <w:szCs w:val="24"/>
              </w:rPr>
              <w:t>名</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b/>
                <w:bCs/>
                <w:snapToGrid w:val="0"/>
                <w:kern w:val="0"/>
                <w:sz w:val="24"/>
                <w:szCs w:val="24"/>
              </w:rPr>
              <w:t>单</w:t>
            </w:r>
            <w:r>
              <w:rPr>
                <w:rFonts w:ascii="宋体" w:hAnsi="宋体" w:cs="宋体"/>
                <w:b/>
                <w:bCs/>
                <w:snapToGrid w:val="0"/>
                <w:kern w:val="0"/>
                <w:sz w:val="24"/>
                <w:szCs w:val="24"/>
              </w:rPr>
              <w:t xml:space="preserve">      </w:t>
            </w:r>
            <w:r>
              <w:rPr>
                <w:rFonts w:hint="eastAsia" w:ascii="宋体" w:hAnsi="宋体" w:cs="宋体"/>
                <w:b/>
                <w:bCs/>
                <w:snapToGrid w:val="0"/>
                <w:kern w:val="0"/>
                <w:sz w:val="24"/>
                <w:szCs w:val="24"/>
              </w:rPr>
              <w:t>位</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b/>
                <w:bCs/>
                <w:snapToGrid w:val="0"/>
                <w:kern w:val="0"/>
                <w:sz w:val="24"/>
                <w:szCs w:val="24"/>
              </w:rPr>
              <w:t>职务</w:t>
            </w:r>
            <w:r>
              <w:rPr>
                <w:rFonts w:ascii="宋体" w:hAnsi="宋体" w:cs="宋体"/>
                <w:b/>
                <w:bCs/>
                <w:snapToGrid w:val="0"/>
                <w:kern w:val="0"/>
                <w:sz w:val="24"/>
                <w:szCs w:val="24"/>
              </w:rPr>
              <w:t>/</w:t>
            </w:r>
          </w:p>
          <w:p>
            <w:pPr>
              <w:snapToGrid w:val="0"/>
              <w:jc w:val="center"/>
              <w:rPr>
                <w:rFonts w:ascii="宋体" w:hAnsi="宋体"/>
                <w:sz w:val="24"/>
                <w:szCs w:val="24"/>
              </w:rPr>
            </w:pPr>
            <w:r>
              <w:rPr>
                <w:rFonts w:hint="eastAsia" w:ascii="宋体" w:hAnsi="宋体" w:cs="宋体"/>
                <w:b/>
                <w:bCs/>
                <w:snapToGrid w:val="0"/>
                <w:kern w:val="0"/>
                <w:sz w:val="24"/>
                <w:szCs w:val="24"/>
              </w:rPr>
              <w:t>职称</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b/>
                <w:bCs/>
                <w:snapToGrid w:val="0"/>
                <w:kern w:val="0"/>
                <w:sz w:val="24"/>
                <w:szCs w:val="24"/>
              </w:rPr>
              <w:t>签</w:t>
            </w:r>
            <w:r>
              <w:rPr>
                <w:rFonts w:ascii="宋体" w:hAnsi="宋体" w:cs="宋体"/>
                <w:b/>
                <w:bCs/>
                <w:snapToGrid w:val="0"/>
                <w:kern w:val="0"/>
                <w:sz w:val="24"/>
                <w:szCs w:val="24"/>
              </w:rPr>
              <w:t xml:space="preserve">  </w:t>
            </w:r>
            <w:r>
              <w:rPr>
                <w:rFonts w:hint="eastAsia" w:ascii="宋体" w:hAnsi="宋体" w:cs="宋体"/>
                <w:b/>
                <w:bCs/>
                <w:snapToGrid w:val="0"/>
                <w:kern w:val="0"/>
                <w:sz w:val="24"/>
                <w:szCs w:val="24"/>
              </w:rPr>
              <w:t>名</w:t>
            </w:r>
          </w:p>
        </w:tc>
      </w:tr>
      <w:tr>
        <w:tblPrEx>
          <w:tblCellMar>
            <w:top w:w="0" w:type="dxa"/>
            <w:left w:w="51" w:type="dxa"/>
            <w:bottom w:w="0" w:type="dxa"/>
            <w:right w:w="51" w:type="dxa"/>
          </w:tblCellMar>
        </w:tblPrEx>
        <w:trPr>
          <w:trHeight w:val="737" w:hRule="atLeast"/>
          <w:jc w:val="center"/>
        </w:trPr>
        <w:tc>
          <w:tcPr>
            <w:tcW w:w="62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snapToGrid w:val="0"/>
                <w:kern w:val="0"/>
                <w:sz w:val="24"/>
                <w:szCs w:val="24"/>
              </w:rPr>
              <w:t>组长</w:t>
            </w: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snapToGrid w:val="0"/>
                <w:kern w:val="0"/>
                <w:sz w:val="24"/>
                <w:szCs w:val="24"/>
              </w:rPr>
              <w:t>建设单位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snapToGrid w:val="0"/>
                <w:kern w:val="0"/>
                <w:sz w:val="24"/>
                <w:szCs w:val="24"/>
              </w:rPr>
              <w:t>陈青江</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cs="宋体"/>
                <w:snapToGrid w:val="0"/>
                <w:kern w:val="0"/>
                <w:sz w:val="24"/>
                <w:szCs w:val="24"/>
              </w:rPr>
              <w:t>青岛壳牌石油有限公司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snapToGrid w:val="0"/>
                <w:kern w:val="0"/>
                <w:sz w:val="24"/>
                <w:szCs w:val="24"/>
                <w:lang w:val="en-US" w:eastAsia="zh-CN"/>
              </w:rPr>
              <w:t>总经理</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p>
        </w:tc>
      </w:tr>
      <w:tr>
        <w:tblPrEx>
          <w:tblCellMar>
            <w:top w:w="0" w:type="dxa"/>
            <w:left w:w="51" w:type="dxa"/>
            <w:bottom w:w="0" w:type="dxa"/>
            <w:right w:w="51" w:type="dxa"/>
          </w:tblCellMar>
        </w:tblPrEx>
        <w:trPr>
          <w:trHeight w:val="737" w:hRule="atLeast"/>
          <w:jc w:val="center"/>
        </w:trPr>
        <w:tc>
          <w:tcPr>
            <w:tcW w:w="627"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snapToGrid w:val="0"/>
                <w:kern w:val="0"/>
                <w:sz w:val="24"/>
                <w:szCs w:val="24"/>
              </w:rPr>
              <w:t>成员</w:t>
            </w: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r>
              <w:rPr>
                <w:rFonts w:hint="eastAsia" w:ascii="宋体" w:hAnsi="宋体" w:cs="宋体"/>
                <w:snapToGrid w:val="0"/>
                <w:kern w:val="0"/>
                <w:sz w:val="24"/>
                <w:szCs w:val="24"/>
              </w:rPr>
              <w:t>验收报告编制单位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snapToGrid w:val="0"/>
                <w:kern w:val="0"/>
                <w:sz w:val="24"/>
                <w:szCs w:val="24"/>
              </w:rPr>
              <w:t>盖晓峰</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cs="宋体"/>
                <w:snapToGrid w:val="0"/>
                <w:kern w:val="0"/>
                <w:sz w:val="24"/>
                <w:szCs w:val="24"/>
              </w:rPr>
              <w:t>青岛壳牌石油有限公司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snapToGrid w:val="0"/>
                <w:kern w:val="0"/>
                <w:sz w:val="24"/>
                <w:szCs w:val="24"/>
                <w:lang w:val="en-US" w:eastAsia="zh-CN"/>
              </w:rPr>
              <w:t>经理</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p>
        </w:tc>
      </w:tr>
      <w:tr>
        <w:tblPrEx>
          <w:tblCellMar>
            <w:top w:w="0" w:type="dxa"/>
            <w:left w:w="51" w:type="dxa"/>
            <w:bottom w:w="0" w:type="dxa"/>
            <w:right w:w="51" w:type="dxa"/>
          </w:tblCellMar>
        </w:tblPrEx>
        <w:trPr>
          <w:trHeight w:val="737" w:hRule="atLeast"/>
          <w:jc w:val="center"/>
        </w:trPr>
        <w:tc>
          <w:tcPr>
            <w:tcW w:w="627" w:type="dxa"/>
            <w:vMerge w:val="continue"/>
            <w:tcBorders>
              <w:left w:val="single" w:color="auto" w:sz="4" w:space="0"/>
              <w:bottom w:val="single" w:color="auto" w:sz="4" w:space="0"/>
              <w:right w:val="single" w:color="auto" w:sz="4" w:space="0"/>
            </w:tcBorders>
            <w:vAlign w:val="center"/>
          </w:tcPr>
          <w:p>
            <w:pPr>
              <w:snapToGrid w:val="0"/>
              <w:jc w:val="center"/>
              <w:rPr>
                <w:rFonts w:ascii="宋体" w:hAnsi="宋体"/>
                <w:sz w:val="24"/>
                <w:szCs w:val="24"/>
              </w:rPr>
            </w:pPr>
          </w:p>
        </w:tc>
        <w:tc>
          <w:tcPr>
            <w:tcW w:w="120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cs="宋体"/>
                <w:snapToGrid w:val="0"/>
                <w:kern w:val="0"/>
                <w:sz w:val="24"/>
                <w:szCs w:val="24"/>
              </w:rPr>
              <w:t>监测单位</w:t>
            </w:r>
          </w:p>
        </w:tc>
        <w:tc>
          <w:tcPr>
            <w:tcW w:w="97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snapToGrid w:val="0"/>
                <w:kern w:val="0"/>
                <w:sz w:val="24"/>
                <w:szCs w:val="24"/>
              </w:rPr>
              <w:t>王云鹏</w:t>
            </w:r>
          </w:p>
        </w:tc>
        <w:tc>
          <w:tcPr>
            <w:tcW w:w="354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cs="宋体"/>
                <w:snapToGrid w:val="0"/>
                <w:kern w:val="0"/>
                <w:sz w:val="24"/>
                <w:szCs w:val="24"/>
              </w:rPr>
              <w:t>青岛中旭检测检验有限公司</w:t>
            </w:r>
          </w:p>
        </w:tc>
        <w:tc>
          <w:tcPr>
            <w:tcW w:w="10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napToGrid w:val="0"/>
                <w:kern w:val="0"/>
                <w:sz w:val="24"/>
                <w:szCs w:val="24"/>
              </w:rPr>
            </w:pPr>
            <w:r>
              <w:rPr>
                <w:rFonts w:hint="eastAsia" w:ascii="宋体" w:hAnsi="宋体" w:cs="宋体"/>
                <w:snapToGrid w:val="0"/>
                <w:kern w:val="0"/>
                <w:sz w:val="24"/>
                <w:szCs w:val="24"/>
              </w:rPr>
              <w:t>工程师</w:t>
            </w:r>
          </w:p>
        </w:tc>
        <w:tc>
          <w:tcPr>
            <w:tcW w:w="21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szCs w:val="24"/>
              </w:rPr>
            </w:pPr>
          </w:p>
        </w:tc>
      </w:tr>
    </w:tbl>
    <w:p>
      <w:pPr>
        <w:pStyle w:val="19"/>
        <w:adjustRightInd w:val="0"/>
        <w:snapToGrid w:val="0"/>
        <w:jc w:val="left"/>
        <w:rPr>
          <w:rFonts w:ascii="宋体" w:eastAsia="宋体" w:cs="Times New Roman"/>
          <w:b/>
          <w:bCs/>
          <w:snapToGrid w:val="0"/>
          <w:kern w:val="0"/>
          <w:sz w:val="24"/>
          <w:szCs w:val="24"/>
        </w:rPr>
      </w:pPr>
    </w:p>
    <w:p>
      <w:pPr>
        <w:snapToGrid w:val="0"/>
        <w:jc w:val="right"/>
        <w:rPr>
          <w:rFonts w:ascii="宋体" w:hAnsi="宋体"/>
          <w:b/>
          <w:bCs/>
          <w:snapToGrid w:val="0"/>
          <w:kern w:val="0"/>
          <w:sz w:val="28"/>
          <w:szCs w:val="28"/>
        </w:rPr>
      </w:pPr>
      <w:r>
        <w:rPr>
          <w:rFonts w:hint="eastAsia" w:ascii="宋体" w:hAnsi="宋体" w:cs="宋体"/>
          <w:b/>
          <w:bCs/>
          <w:snapToGrid w:val="0"/>
          <w:kern w:val="0"/>
          <w:sz w:val="28"/>
          <w:szCs w:val="28"/>
        </w:rPr>
        <w:t>青岛壳牌石油有限公司平度市深圳路加油站</w:t>
      </w:r>
    </w:p>
    <w:p>
      <w:pPr>
        <w:snapToGrid w:val="0"/>
        <w:jc w:val="right"/>
        <w:rPr>
          <w:rFonts w:ascii="宋体" w:hAnsi="宋体"/>
          <w:snapToGrid w:val="0"/>
          <w:kern w:val="0"/>
          <w:sz w:val="24"/>
          <w:szCs w:val="24"/>
        </w:rPr>
      </w:pPr>
      <w:r>
        <w:rPr>
          <w:rFonts w:ascii="宋体" w:hAnsi="宋体" w:cs="宋体"/>
          <w:b/>
          <w:bCs/>
          <w:snapToGrid w:val="0"/>
          <w:kern w:val="0"/>
          <w:sz w:val="28"/>
          <w:szCs w:val="28"/>
        </w:rPr>
        <w:t>20</w:t>
      </w:r>
      <w:r>
        <w:rPr>
          <w:rFonts w:hint="eastAsia" w:ascii="宋体" w:hAnsi="宋体" w:cs="宋体"/>
          <w:b/>
          <w:bCs/>
          <w:snapToGrid w:val="0"/>
          <w:kern w:val="0"/>
          <w:sz w:val="28"/>
          <w:szCs w:val="28"/>
        </w:rPr>
        <w:t>20年4月30日</w:t>
      </w:r>
    </w:p>
    <w:sectPr>
      <w:footerReference r:id="rId5" w:type="first"/>
      <w:footerReference r:id="rId3" w:type="default"/>
      <w:footerReference r:id="rId4" w:type="even"/>
      <w:pgSz w:w="11906" w:h="16838"/>
      <w:pgMar w:top="1440" w:right="1080" w:bottom="1440" w:left="1080" w:header="851" w:footer="992" w:gutter="0"/>
      <w:pgNumType w:fmt="numberInDash"/>
      <w:cols w:space="720" w:num="1"/>
      <w:docGrid w:type="linesAndChars" w:linePitch="560" w:charSpace="233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简体">
    <w:altName w:val="Arial Unicode MS"/>
    <w:panose1 w:val="00000000000000000000"/>
    <w:charset w:val="86"/>
    <w:family w:val="script"/>
    <w:pitch w:val="default"/>
    <w:sig w:usb0="00000000" w:usb1="00000000" w:usb2="0000001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rPr>
        <w:rFonts w:cs="Times New Roman"/>
      </w:rPr>
    </w:pPr>
    <w:r>
      <w:fldChar w:fldCharType="begin"/>
    </w:r>
    <w:r>
      <w:instrText xml:space="preserve"> PAGE   \* MERGEFORMAT </w:instrText>
    </w:r>
    <w:r>
      <w:fldChar w:fldCharType="separate"/>
    </w:r>
    <w:r>
      <w:rPr>
        <w:lang w:val="zh-CN"/>
      </w:rPr>
      <w:t>-</w:t>
    </w:r>
    <w:r>
      <w:t xml:space="preserve"> 3 -</w:t>
    </w:r>
    <w:r>
      <w:fldChar w:fldCharType="end"/>
    </w:r>
  </w:p>
  <w:p>
    <w:pPr>
      <w:pStyle w:val="14"/>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documentProtection w:enforcement="0"/>
  <w:defaultTabStop w:val="420"/>
  <w:doNotHyphenateCaps/>
  <w:drawingGridHorizontalSpacing w:val="162"/>
  <w:drawingGridVerticalSpacing w:val="280"/>
  <w:displayHorizontalDrawingGridEvery w:val="0"/>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352D"/>
    <w:rsid w:val="000871FF"/>
    <w:rsid w:val="007657C9"/>
    <w:rsid w:val="00881720"/>
    <w:rsid w:val="00BE352D"/>
    <w:rsid w:val="00D649F8"/>
    <w:rsid w:val="2AF07332"/>
    <w:rsid w:val="351B2DF7"/>
    <w:rsid w:val="360B3399"/>
    <w:rsid w:val="670A365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rFonts w:ascii="黑体" w:hAnsi="黑体" w:eastAsia="黑体" w:cs="黑体"/>
      <w:sz w:val="32"/>
      <w:szCs w:val="32"/>
    </w:rPr>
  </w:style>
  <w:style w:type="paragraph" w:styleId="5">
    <w:name w:val="heading 2"/>
    <w:basedOn w:val="1"/>
    <w:next w:val="6"/>
    <w:link w:val="35"/>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7">
    <w:name w:val="heading 3"/>
    <w:basedOn w:val="1"/>
    <w:next w:val="1"/>
    <w:link w:val="36"/>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1">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38"/>
    <w:qFormat/>
    <w:uiPriority w:val="99"/>
    <w:pPr>
      <w:spacing w:after="120" w:line="240" w:lineRule="auto"/>
      <w:ind w:left="420" w:leftChars="200"/>
    </w:pPr>
    <w:rPr>
      <w:sz w:val="21"/>
      <w:szCs w:val="21"/>
    </w:rPr>
  </w:style>
  <w:style w:type="paragraph" w:styleId="3">
    <w:name w:val="Body Text Indent"/>
    <w:basedOn w:val="1"/>
    <w:link w:val="37"/>
    <w:uiPriority w:val="99"/>
    <w:pPr>
      <w:spacing w:line="400" w:lineRule="atLeast"/>
      <w:ind w:firstLine="420"/>
    </w:pPr>
    <w:rPr>
      <w:rFonts w:ascii="仿宋_GB2312" w:hAnsi="宋体" w:eastAsia="仿宋_GB2312" w:cs="仿宋_GB2312"/>
      <w:sz w:val="32"/>
      <w:szCs w:val="32"/>
    </w:rPr>
  </w:style>
  <w:style w:type="paragraph" w:styleId="6">
    <w:name w:val="Normal Indent"/>
    <w:basedOn w:val="1"/>
    <w:link w:val="61"/>
    <w:uiPriority w:val="99"/>
    <w:pPr>
      <w:snapToGrid w:val="0"/>
      <w:spacing w:before="60" w:after="60" w:line="300" w:lineRule="auto"/>
      <w:ind w:firstLine="420"/>
    </w:pPr>
    <w:rPr>
      <w:sz w:val="24"/>
      <w:szCs w:val="24"/>
    </w:rPr>
  </w:style>
  <w:style w:type="paragraph" w:styleId="8">
    <w:name w:val="Document Map"/>
    <w:basedOn w:val="1"/>
    <w:link w:val="41"/>
    <w:qFormat/>
    <w:uiPriority w:val="99"/>
    <w:pPr>
      <w:shd w:val="clear" w:color="auto" w:fill="000080"/>
    </w:pPr>
  </w:style>
  <w:style w:type="paragraph" w:styleId="9">
    <w:name w:val="annotation text"/>
    <w:basedOn w:val="1"/>
    <w:link w:val="42"/>
    <w:qFormat/>
    <w:uiPriority w:val="99"/>
    <w:pPr>
      <w:jc w:val="left"/>
    </w:pPr>
  </w:style>
  <w:style w:type="paragraph" w:styleId="10">
    <w:name w:val="Body Text"/>
    <w:basedOn w:val="1"/>
    <w:link w:val="39"/>
    <w:uiPriority w:val="99"/>
    <w:pPr>
      <w:spacing w:after="120"/>
    </w:pPr>
  </w:style>
  <w:style w:type="paragraph" w:styleId="11">
    <w:name w:val="Plain Text"/>
    <w:basedOn w:val="1"/>
    <w:link w:val="43"/>
    <w:uiPriority w:val="99"/>
    <w:rPr>
      <w:rFonts w:ascii="宋体" w:hAnsi="Courier New" w:cs="宋体"/>
    </w:rPr>
  </w:style>
  <w:style w:type="paragraph" w:styleId="12">
    <w:name w:val="Date"/>
    <w:basedOn w:val="1"/>
    <w:next w:val="1"/>
    <w:link w:val="44"/>
    <w:qFormat/>
    <w:uiPriority w:val="99"/>
    <w:pPr>
      <w:ind w:left="100" w:leftChars="2500"/>
    </w:pPr>
    <w:rPr>
      <w:rFonts w:ascii="仿宋_GB2312" w:hAnsi="宋体" w:eastAsia="仿宋_GB2312" w:cs="仿宋_GB2312"/>
      <w:sz w:val="32"/>
      <w:szCs w:val="32"/>
    </w:rPr>
  </w:style>
  <w:style w:type="paragraph" w:styleId="13">
    <w:name w:val="Balloon Text"/>
    <w:basedOn w:val="1"/>
    <w:link w:val="45"/>
    <w:qFormat/>
    <w:uiPriority w:val="99"/>
    <w:rPr>
      <w:rFonts w:ascii="仿宋_GB2312" w:hAnsi="宋体" w:eastAsia="仿宋_GB2312" w:cs="仿宋_GB2312"/>
      <w:sz w:val="18"/>
      <w:szCs w:val="18"/>
    </w:rPr>
  </w:style>
  <w:style w:type="paragraph" w:styleId="14">
    <w:name w:val="footer"/>
    <w:basedOn w:val="1"/>
    <w:link w:val="46"/>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5">
    <w:name w:val="header"/>
    <w:basedOn w:val="1"/>
    <w:link w:val="47"/>
    <w:qFormat/>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styleId="16">
    <w:name w:val="toc 1"/>
    <w:basedOn w:val="1"/>
    <w:next w:val="1"/>
    <w:qFormat/>
    <w:uiPriority w:val="99"/>
    <w:pPr>
      <w:tabs>
        <w:tab w:val="right" w:leader="dot" w:pos="8280"/>
      </w:tabs>
      <w:jc w:val="center"/>
    </w:pPr>
    <w:rPr>
      <w:rFonts w:ascii="黑体" w:hAnsi="黑体" w:eastAsia="黑体" w:cs="黑体"/>
      <w:sz w:val="44"/>
      <w:szCs w:val="44"/>
    </w:rPr>
  </w:style>
  <w:style w:type="paragraph" w:styleId="17">
    <w:name w:val="toc 2"/>
    <w:basedOn w:val="1"/>
    <w:next w:val="1"/>
    <w:qFormat/>
    <w:uiPriority w:val="99"/>
    <w:pPr>
      <w:ind w:left="420" w:leftChars="200"/>
    </w:pPr>
  </w:style>
  <w:style w:type="paragraph" w:styleId="18">
    <w:name w:val="Normal (Web)"/>
    <w:basedOn w:val="1"/>
    <w:qFormat/>
    <w:uiPriority w:val="99"/>
    <w:pPr>
      <w:spacing w:before="100" w:beforeAutospacing="1" w:after="100" w:afterAutospacing="1"/>
      <w:jc w:val="left"/>
    </w:pPr>
    <w:rPr>
      <w:kern w:val="0"/>
      <w:sz w:val="24"/>
      <w:szCs w:val="24"/>
    </w:rPr>
  </w:style>
  <w:style w:type="paragraph" w:styleId="19">
    <w:name w:val="Title"/>
    <w:basedOn w:val="1"/>
    <w:link w:val="48"/>
    <w:qFormat/>
    <w:uiPriority w:val="99"/>
    <w:pPr>
      <w:jc w:val="center"/>
    </w:pPr>
    <w:rPr>
      <w:rFonts w:ascii="方正小标宋简体" w:hAnsi="宋体" w:eastAsia="方正小标宋简体" w:cs="方正小标宋简体"/>
      <w:sz w:val="36"/>
      <w:szCs w:val="36"/>
    </w:rPr>
  </w:style>
  <w:style w:type="paragraph" w:styleId="20">
    <w:name w:val="annotation subject"/>
    <w:basedOn w:val="9"/>
    <w:next w:val="9"/>
    <w:link w:val="71"/>
    <w:uiPriority w:val="99"/>
    <w:rPr>
      <w:b/>
      <w:bCs/>
    </w:rPr>
  </w:style>
  <w:style w:type="paragraph" w:styleId="21">
    <w:name w:val="Body Text First Indent"/>
    <w:basedOn w:val="10"/>
    <w:link w:val="40"/>
    <w:qFormat/>
    <w:uiPriority w:val="99"/>
    <w:pPr>
      <w:ind w:firstLine="420" w:firstLineChars="1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3"/>
    <w:basedOn w:val="22"/>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5">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6">
    <w:name w:val="Medium Grid 3 Accent 2"/>
    <w:basedOn w:val="22"/>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7">
    <w:name w:val="Medium Grid 3 Accent 3"/>
    <w:basedOn w:val="22"/>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8">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9">
    <w:name w:val="Medium Grid 3 Accent 5"/>
    <w:basedOn w:val="22"/>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0">
    <w:name w:val="Medium Grid 3 Accent 6"/>
    <w:basedOn w:val="22"/>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2">
    <w:name w:val="page number"/>
    <w:qFormat/>
    <w:uiPriority w:val="99"/>
    <w:rPr>
      <w:rFonts w:ascii="Times New Roman" w:hAnsi="Times New Roman" w:eastAsia="宋体" w:cs="Times New Roman"/>
    </w:rPr>
  </w:style>
  <w:style w:type="character" w:styleId="33">
    <w:name w:val="Hyperlink"/>
    <w:qFormat/>
    <w:uiPriority w:val="99"/>
    <w:rPr>
      <w:color w:val="0000FF"/>
      <w:u w:val="single"/>
    </w:rPr>
  </w:style>
  <w:style w:type="character" w:customStyle="1" w:styleId="34">
    <w:name w:val="标题 1 Char"/>
    <w:link w:val="4"/>
    <w:uiPriority w:val="99"/>
    <w:rPr>
      <w:rFonts w:ascii="黑体" w:hAnsi="黑体" w:eastAsia="黑体" w:cs="黑体"/>
      <w:kern w:val="2"/>
      <w:sz w:val="32"/>
      <w:szCs w:val="32"/>
      <w:lang w:val="en-US" w:eastAsia="zh-CN"/>
    </w:rPr>
  </w:style>
  <w:style w:type="character" w:customStyle="1" w:styleId="35">
    <w:name w:val="标题 2 Char"/>
    <w:link w:val="5"/>
    <w:uiPriority w:val="99"/>
    <w:rPr>
      <w:rFonts w:ascii="仿宋_GB2312" w:hAnsi="宋体" w:eastAsia="仿宋_GB2312" w:cs="仿宋_GB2312"/>
      <w:b/>
      <w:bCs/>
      <w:kern w:val="2"/>
      <w:sz w:val="32"/>
      <w:szCs w:val="32"/>
      <w:lang w:val="en-US" w:eastAsia="zh-CN"/>
    </w:rPr>
  </w:style>
  <w:style w:type="character" w:customStyle="1" w:styleId="36">
    <w:name w:val="标题 3 Char"/>
    <w:link w:val="7"/>
    <w:qFormat/>
    <w:uiPriority w:val="99"/>
    <w:rPr>
      <w:rFonts w:ascii="仿宋_GB2312" w:hAnsi="宋体" w:eastAsia="仿宋_GB2312" w:cs="仿宋_GB2312"/>
      <w:b/>
      <w:bCs/>
      <w:kern w:val="2"/>
      <w:sz w:val="32"/>
      <w:szCs w:val="32"/>
    </w:rPr>
  </w:style>
  <w:style w:type="character" w:customStyle="1" w:styleId="37">
    <w:name w:val="正文文本缩进 Char"/>
    <w:link w:val="3"/>
    <w:uiPriority w:val="99"/>
    <w:rPr>
      <w:rFonts w:ascii="仿宋_GB2312" w:hAnsi="宋体" w:eastAsia="仿宋_GB2312" w:cs="仿宋_GB2312"/>
      <w:kern w:val="2"/>
      <w:sz w:val="32"/>
      <w:szCs w:val="32"/>
    </w:rPr>
  </w:style>
  <w:style w:type="character" w:customStyle="1" w:styleId="38">
    <w:name w:val="正文首行缩进 2 Char"/>
    <w:link w:val="2"/>
    <w:uiPriority w:val="99"/>
    <w:rPr>
      <w:rFonts w:ascii="仿宋_GB2312" w:hAnsi="宋体" w:eastAsia="仿宋_GB2312" w:cs="仿宋_GB2312"/>
      <w:kern w:val="2"/>
      <w:sz w:val="32"/>
      <w:szCs w:val="21"/>
    </w:rPr>
  </w:style>
  <w:style w:type="character" w:customStyle="1" w:styleId="39">
    <w:name w:val="正文文本 Char"/>
    <w:link w:val="10"/>
    <w:qFormat/>
    <w:uiPriority w:val="99"/>
    <w:rPr>
      <w:szCs w:val="21"/>
    </w:rPr>
  </w:style>
  <w:style w:type="character" w:customStyle="1" w:styleId="40">
    <w:name w:val="正文首行缩进 Char"/>
    <w:link w:val="21"/>
    <w:uiPriority w:val="99"/>
    <w:rPr>
      <w:szCs w:val="21"/>
    </w:rPr>
  </w:style>
  <w:style w:type="character" w:customStyle="1" w:styleId="41">
    <w:name w:val="文档结构图 Char"/>
    <w:link w:val="8"/>
    <w:qFormat/>
    <w:uiPriority w:val="99"/>
    <w:rPr>
      <w:sz w:val="0"/>
      <w:szCs w:val="0"/>
    </w:rPr>
  </w:style>
  <w:style w:type="character" w:customStyle="1" w:styleId="42">
    <w:name w:val="批注文字 Char"/>
    <w:link w:val="9"/>
    <w:qFormat/>
    <w:uiPriority w:val="99"/>
    <w:rPr>
      <w:kern w:val="2"/>
      <w:sz w:val="24"/>
      <w:szCs w:val="24"/>
    </w:rPr>
  </w:style>
  <w:style w:type="character" w:customStyle="1" w:styleId="43">
    <w:name w:val="纯文本 Char"/>
    <w:link w:val="11"/>
    <w:qFormat/>
    <w:uiPriority w:val="99"/>
    <w:rPr>
      <w:rFonts w:ascii="宋体" w:hAnsi="Courier New" w:cs="Courier New"/>
      <w:szCs w:val="21"/>
    </w:rPr>
  </w:style>
  <w:style w:type="character" w:customStyle="1" w:styleId="44">
    <w:name w:val="日期 Char"/>
    <w:link w:val="12"/>
    <w:qFormat/>
    <w:uiPriority w:val="99"/>
    <w:rPr>
      <w:rFonts w:ascii="仿宋_GB2312" w:hAnsi="宋体" w:eastAsia="仿宋_GB2312" w:cs="仿宋_GB2312"/>
      <w:kern w:val="2"/>
      <w:sz w:val="32"/>
      <w:szCs w:val="32"/>
    </w:rPr>
  </w:style>
  <w:style w:type="character" w:customStyle="1" w:styleId="45">
    <w:name w:val="批注框文本 Char"/>
    <w:link w:val="13"/>
    <w:uiPriority w:val="99"/>
    <w:rPr>
      <w:rFonts w:ascii="仿宋_GB2312" w:hAnsi="宋体" w:eastAsia="仿宋_GB2312" w:cs="仿宋_GB2312"/>
      <w:kern w:val="2"/>
      <w:sz w:val="18"/>
      <w:szCs w:val="18"/>
    </w:rPr>
  </w:style>
  <w:style w:type="character" w:customStyle="1" w:styleId="46">
    <w:name w:val="页脚 Char"/>
    <w:link w:val="14"/>
    <w:qFormat/>
    <w:uiPriority w:val="99"/>
    <w:rPr>
      <w:rFonts w:ascii="仿宋_GB2312" w:hAnsi="宋体" w:eastAsia="仿宋_GB2312" w:cs="仿宋_GB2312"/>
      <w:kern w:val="2"/>
      <w:sz w:val="18"/>
      <w:szCs w:val="18"/>
    </w:rPr>
  </w:style>
  <w:style w:type="character" w:customStyle="1" w:styleId="47">
    <w:name w:val="页眉 Char"/>
    <w:link w:val="15"/>
    <w:qFormat/>
    <w:uiPriority w:val="99"/>
    <w:rPr>
      <w:rFonts w:ascii="仿宋_GB2312" w:hAnsi="宋体" w:eastAsia="仿宋_GB2312" w:cs="仿宋_GB2312"/>
      <w:kern w:val="2"/>
      <w:sz w:val="18"/>
      <w:szCs w:val="18"/>
    </w:rPr>
  </w:style>
  <w:style w:type="character" w:customStyle="1" w:styleId="48">
    <w:name w:val="标题 Char"/>
    <w:link w:val="19"/>
    <w:qFormat/>
    <w:uiPriority w:val="99"/>
    <w:rPr>
      <w:rFonts w:ascii="方正小标宋简体" w:hAnsi="宋体" w:eastAsia="方正小标宋简体" w:cs="方正小标宋简体"/>
      <w:kern w:val="2"/>
      <w:sz w:val="36"/>
      <w:szCs w:val="36"/>
      <w:lang w:val="en-US" w:eastAsia="zh-CN"/>
    </w:rPr>
  </w:style>
  <w:style w:type="paragraph" w:customStyle="1" w:styleId="49">
    <w:name w:val="CEE正文"/>
    <w:basedOn w:val="1"/>
    <w:link w:val="65"/>
    <w:uiPriority w:val="99"/>
    <w:pPr>
      <w:spacing w:line="360" w:lineRule="auto"/>
    </w:pPr>
    <w:rPr>
      <w:kern w:val="0"/>
      <w:sz w:val="24"/>
      <w:szCs w:val="24"/>
    </w:rPr>
  </w:style>
  <w:style w:type="paragraph" w:customStyle="1" w:styleId="50">
    <w:name w:val="p0"/>
    <w:basedOn w:val="1"/>
    <w:qFormat/>
    <w:uiPriority w:val="99"/>
    <w:pPr>
      <w:widowControl/>
    </w:pPr>
    <w:rPr>
      <w:kern w:val="0"/>
    </w:rPr>
  </w:style>
  <w:style w:type="paragraph" w:customStyle="1" w:styleId="51">
    <w:name w:val="默认段落字体 Para Char Char Char Char"/>
    <w:basedOn w:val="1"/>
    <w:uiPriority w:val="99"/>
    <w:pPr>
      <w:spacing w:line="360" w:lineRule="auto"/>
    </w:pPr>
    <w:rPr>
      <w:rFonts w:ascii="宋体" w:cs="宋体"/>
      <w:sz w:val="24"/>
      <w:szCs w:val="24"/>
    </w:rPr>
  </w:style>
  <w:style w:type="paragraph" w:customStyle="1" w:styleId="52">
    <w:name w:val="我的表格"/>
    <w:basedOn w:val="1"/>
    <w:qFormat/>
    <w:uiPriority w:val="99"/>
    <w:pPr>
      <w:autoSpaceDE w:val="0"/>
      <w:autoSpaceDN w:val="0"/>
      <w:adjustRightInd w:val="0"/>
      <w:jc w:val="center"/>
    </w:pPr>
    <w:rPr>
      <w:kern w:val="0"/>
    </w:rPr>
  </w:style>
  <w:style w:type="paragraph" w:customStyle="1" w:styleId="53">
    <w:name w:val="表文字"/>
    <w:basedOn w:val="1"/>
    <w:link w:val="66"/>
    <w:qFormat/>
    <w:uiPriority w:val="99"/>
    <w:pPr>
      <w:topLinePunct/>
      <w:adjustRightInd w:val="0"/>
      <w:spacing w:line="240" w:lineRule="exact"/>
      <w:textAlignment w:val="baseline"/>
    </w:pPr>
    <w:rPr>
      <w:rFonts w:eastAsia="汉鼎简书宋"/>
    </w:rPr>
  </w:style>
  <w:style w:type="paragraph" w:customStyle="1" w:styleId="54">
    <w:name w:val="默认段落字体 Para Char Char Char Char Char Char Char"/>
    <w:basedOn w:val="1"/>
    <w:uiPriority w:val="99"/>
  </w:style>
  <w:style w:type="paragraph" w:customStyle="1" w:styleId="55">
    <w:name w:val="正文2"/>
    <w:basedOn w:val="1"/>
    <w:link w:val="64"/>
    <w:qFormat/>
    <w:uiPriority w:val="99"/>
    <w:pPr>
      <w:snapToGrid w:val="0"/>
      <w:spacing w:line="500" w:lineRule="atLeast"/>
      <w:ind w:firstLine="567"/>
    </w:pPr>
    <w:rPr>
      <w:sz w:val="24"/>
      <w:szCs w:val="24"/>
    </w:rPr>
  </w:style>
  <w:style w:type="paragraph" w:customStyle="1" w:styleId="56">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57">
    <w:name w:val="落款"/>
    <w:basedOn w:val="1"/>
    <w:link w:val="63"/>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58">
    <w:name w:val="陈光的正文"/>
    <w:basedOn w:val="1"/>
    <w:link w:val="62"/>
    <w:qFormat/>
    <w:uiPriority w:val="99"/>
    <w:pPr>
      <w:adjustRightInd w:val="0"/>
      <w:snapToGrid w:val="0"/>
      <w:spacing w:beforeLines="10" w:afterLines="10" w:line="360" w:lineRule="auto"/>
      <w:ind w:firstLine="560"/>
    </w:pPr>
    <w:rPr>
      <w:sz w:val="28"/>
      <w:szCs w:val="28"/>
    </w:rPr>
  </w:style>
  <w:style w:type="paragraph" w:customStyle="1" w:styleId="59">
    <w:name w:val="Default"/>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60">
    <w:name w:val="我的正文"/>
    <w:basedOn w:val="1"/>
    <w:uiPriority w:val="99"/>
    <w:pPr>
      <w:spacing w:line="312" w:lineRule="auto"/>
    </w:pPr>
    <w:rPr>
      <w:sz w:val="24"/>
      <w:szCs w:val="24"/>
    </w:rPr>
  </w:style>
  <w:style w:type="character" w:customStyle="1" w:styleId="61">
    <w:name w:val="正文缩进 Char"/>
    <w:link w:val="6"/>
    <w:qFormat/>
    <w:uiPriority w:val="99"/>
    <w:rPr>
      <w:rFonts w:ascii="Times New Roman" w:hAnsi="Times New Roman" w:eastAsia="宋体" w:cs="Times New Roman"/>
      <w:kern w:val="2"/>
      <w:sz w:val="24"/>
      <w:szCs w:val="24"/>
    </w:rPr>
  </w:style>
  <w:style w:type="character" w:customStyle="1" w:styleId="62">
    <w:name w:val="陈光的正文 Char Char"/>
    <w:link w:val="58"/>
    <w:uiPriority w:val="99"/>
    <w:rPr>
      <w:rFonts w:ascii="Times New Roman" w:hAnsi="Times New Roman" w:eastAsia="宋体" w:cs="Times New Roman"/>
      <w:kern w:val="2"/>
      <w:sz w:val="28"/>
      <w:szCs w:val="28"/>
    </w:rPr>
  </w:style>
  <w:style w:type="character" w:customStyle="1" w:styleId="63">
    <w:name w:val="落款 Char"/>
    <w:link w:val="57"/>
    <w:uiPriority w:val="99"/>
    <w:rPr>
      <w:rFonts w:ascii="仿宋_GB2312" w:hAnsi="宋体" w:eastAsia="仿宋_GB2312" w:cs="仿宋_GB2312"/>
      <w:kern w:val="2"/>
      <w:sz w:val="32"/>
      <w:szCs w:val="32"/>
      <w:lang w:val="en-US" w:eastAsia="zh-CN"/>
    </w:rPr>
  </w:style>
  <w:style w:type="character" w:customStyle="1" w:styleId="64">
    <w:name w:val="正文2 Char Char"/>
    <w:link w:val="55"/>
    <w:qFormat/>
    <w:uiPriority w:val="99"/>
    <w:rPr>
      <w:rFonts w:ascii="Times New Roman" w:hAnsi="Times New Roman" w:eastAsia="宋体" w:cs="Times New Roman"/>
      <w:kern w:val="2"/>
      <w:sz w:val="24"/>
      <w:szCs w:val="24"/>
      <w:lang w:val="en-US" w:eastAsia="zh-CN"/>
    </w:rPr>
  </w:style>
  <w:style w:type="character" w:customStyle="1" w:styleId="65">
    <w:name w:val="CEE正文 Char"/>
    <w:link w:val="49"/>
    <w:qFormat/>
    <w:uiPriority w:val="99"/>
    <w:rPr>
      <w:rFonts w:ascii="Times New Roman" w:hAnsi="Times New Roman" w:eastAsia="宋体" w:cs="Times New Roman"/>
      <w:sz w:val="24"/>
      <w:szCs w:val="24"/>
    </w:rPr>
  </w:style>
  <w:style w:type="character" w:customStyle="1" w:styleId="66">
    <w:name w:val="表文字 Char"/>
    <w:link w:val="53"/>
    <w:uiPriority w:val="99"/>
    <w:rPr>
      <w:rFonts w:ascii="Times New Roman" w:hAnsi="Times New Roman" w:eastAsia="汉鼎简书宋" w:cs="Times New Roman"/>
      <w:kern w:val="2"/>
      <w:sz w:val="21"/>
      <w:szCs w:val="21"/>
      <w:lang w:val="en-US" w:eastAsia="zh-CN"/>
    </w:rPr>
  </w:style>
  <w:style w:type="paragraph" w:customStyle="1" w:styleId="67">
    <w:name w:val="普通(网站)1"/>
    <w:basedOn w:val="1"/>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69">
    <w:name w:val="List Paragraph"/>
    <w:basedOn w:val="1"/>
    <w:qFormat/>
    <w:uiPriority w:val="99"/>
    <w:pPr>
      <w:ind w:firstLine="420" w:firstLineChars="200"/>
    </w:pPr>
  </w:style>
  <w:style w:type="paragraph" w:customStyle="1" w:styleId="70">
    <w:name w:val="文字描述"/>
    <w:basedOn w:val="1"/>
    <w:qFormat/>
    <w:uiPriority w:val="99"/>
    <w:pPr>
      <w:adjustRightInd w:val="0"/>
      <w:snapToGrid w:val="0"/>
      <w:spacing w:line="360" w:lineRule="auto"/>
      <w:ind w:firstLine="200" w:firstLineChars="200"/>
    </w:pPr>
    <w:rPr>
      <w:spacing w:val="-2"/>
      <w:sz w:val="24"/>
      <w:szCs w:val="24"/>
    </w:rPr>
  </w:style>
  <w:style w:type="character" w:customStyle="1" w:styleId="71">
    <w:name w:val="批注主题 Char"/>
    <w:link w:val="20"/>
    <w:uiPriority w:val="99"/>
    <w:rPr>
      <w:b/>
      <w:bCs/>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HaoXiTong.com</Company>
  <Pages>3</Pages>
  <Words>296</Words>
  <Characters>1690</Characters>
  <Lines>14</Lines>
  <Paragraphs>3</Paragraphs>
  <TotalTime>1</TotalTime>
  <ScaleCrop>false</ScaleCrop>
  <LinksUpToDate>false</LinksUpToDate>
  <CharactersWithSpaces>1983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2018-10-07T01:15:00Z</dcterms:created>
  <dc:creator>Administrator</dc:creator>
  <cp:lastModifiedBy>环保管家</cp:lastModifiedBy>
  <cp:lastPrinted>2017-12-23T10:27:00Z</cp:lastPrinted>
  <dcterms:modified xsi:type="dcterms:W3CDTF">2020-08-17T01:03:32Z</dcterms:modified>
  <dc:title>湛江奥里油发电厂（2×600兆瓦）油改煤工程</dc:title>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