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b/>
          <w:bCs/>
          <w:sz w:val="36"/>
          <w:szCs w:val="36"/>
          <w:lang w:eastAsia="zh-CN"/>
        </w:rPr>
      </w:pPr>
      <w:r>
        <w:rPr>
          <w:rFonts w:hint="eastAsia"/>
          <w:b/>
          <w:bCs/>
          <w:sz w:val="36"/>
          <w:szCs w:val="36"/>
          <w:lang w:eastAsia="zh-CN"/>
        </w:rPr>
        <w:t>青岛征洋链传动厂</w:t>
      </w:r>
    </w:p>
    <w:p>
      <w:pPr>
        <w:spacing w:line="276" w:lineRule="auto"/>
        <w:jc w:val="center"/>
        <w:rPr>
          <w:rFonts w:hint="eastAsia"/>
          <w:b/>
          <w:bCs/>
          <w:sz w:val="36"/>
          <w:szCs w:val="36"/>
          <w:lang w:eastAsia="zh-CN"/>
        </w:rPr>
      </w:pPr>
      <w:r>
        <w:rPr>
          <w:rFonts w:hint="eastAsia"/>
          <w:b/>
          <w:bCs/>
          <w:sz w:val="36"/>
          <w:szCs w:val="36"/>
          <w:lang w:eastAsia="zh-CN"/>
        </w:rPr>
        <w:t>传动链条生产制造项目</w:t>
      </w:r>
    </w:p>
    <w:p>
      <w:pPr>
        <w:spacing w:line="276" w:lineRule="auto"/>
        <w:jc w:val="center"/>
        <w:rPr>
          <w:b/>
          <w:bCs/>
          <w:sz w:val="36"/>
          <w:szCs w:val="36"/>
        </w:rPr>
      </w:pPr>
      <w:r>
        <w:rPr>
          <w:b/>
          <w:bCs/>
          <w:sz w:val="36"/>
          <w:szCs w:val="36"/>
        </w:rPr>
        <w:t>竣工环境保护验收意见</w:t>
      </w:r>
    </w:p>
    <w:p>
      <w:pPr>
        <w:spacing w:line="460" w:lineRule="exact"/>
        <w:ind w:firstLine="640" w:firstLineChars="200"/>
        <w:rPr>
          <w:sz w:val="32"/>
          <w:szCs w:val="32"/>
        </w:rPr>
      </w:pPr>
    </w:p>
    <w:p>
      <w:pPr>
        <w:spacing w:line="460" w:lineRule="exact"/>
        <w:ind w:firstLine="480" w:firstLineChars="200"/>
        <w:rPr>
          <w:sz w:val="24"/>
          <w:szCs w:val="24"/>
        </w:rPr>
      </w:pPr>
      <w:r>
        <w:rPr>
          <w:sz w:val="24"/>
          <w:szCs w:val="24"/>
        </w:rPr>
        <w:t>202</w:t>
      </w:r>
      <w:r>
        <w:rPr>
          <w:rFonts w:hint="eastAsia"/>
          <w:sz w:val="24"/>
          <w:szCs w:val="24"/>
          <w:lang w:val="en-US" w:eastAsia="zh-CN"/>
        </w:rPr>
        <w:t>1</w:t>
      </w:r>
      <w:r>
        <w:rPr>
          <w:sz w:val="24"/>
          <w:szCs w:val="24"/>
        </w:rPr>
        <w:t>年</w:t>
      </w:r>
      <w:r>
        <w:rPr>
          <w:rFonts w:hint="eastAsia"/>
          <w:sz w:val="24"/>
          <w:szCs w:val="24"/>
          <w:lang w:val="en-US" w:eastAsia="zh-CN"/>
        </w:rPr>
        <w:t>8</w:t>
      </w:r>
      <w:r>
        <w:rPr>
          <w:sz w:val="24"/>
          <w:szCs w:val="24"/>
        </w:rPr>
        <w:t>月</w:t>
      </w:r>
      <w:r>
        <w:rPr>
          <w:rFonts w:hint="eastAsia"/>
          <w:sz w:val="24"/>
          <w:szCs w:val="24"/>
          <w:lang w:val="en-US" w:eastAsia="zh-CN"/>
        </w:rPr>
        <w:t>3</w:t>
      </w:r>
      <w:r>
        <w:rPr>
          <w:sz w:val="24"/>
          <w:szCs w:val="24"/>
        </w:rPr>
        <w:t>日，</w:t>
      </w:r>
      <w:r>
        <w:rPr>
          <w:rFonts w:hint="eastAsia"/>
          <w:sz w:val="24"/>
          <w:szCs w:val="24"/>
          <w:lang w:eastAsia="zh-CN"/>
        </w:rPr>
        <w:t>青岛征洋链传动厂</w:t>
      </w:r>
      <w:r>
        <w:rPr>
          <w:sz w:val="24"/>
          <w:szCs w:val="24"/>
        </w:rPr>
        <w:t>根据</w:t>
      </w:r>
      <w:r>
        <w:rPr>
          <w:rFonts w:hint="eastAsia"/>
          <w:sz w:val="24"/>
          <w:szCs w:val="24"/>
          <w:lang w:eastAsia="zh-CN"/>
        </w:rPr>
        <w:t>“传动链条生产制造项目”</w:t>
      </w:r>
      <w:r>
        <w:rPr>
          <w:sz w:val="24"/>
          <w:szCs w:val="24"/>
        </w:rPr>
        <w:t>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spacing w:line="460" w:lineRule="exact"/>
        <w:ind w:firstLine="482" w:firstLineChars="200"/>
        <w:rPr>
          <w:b/>
          <w:sz w:val="24"/>
          <w:szCs w:val="24"/>
        </w:rPr>
      </w:pPr>
      <w:r>
        <w:rPr>
          <w:b/>
          <w:sz w:val="24"/>
          <w:szCs w:val="24"/>
        </w:rPr>
        <w:t>一、项目基本情况</w:t>
      </w:r>
    </w:p>
    <w:p>
      <w:pPr>
        <w:spacing w:line="460" w:lineRule="exact"/>
        <w:ind w:firstLine="480" w:firstLineChars="200"/>
        <w:rPr>
          <w:sz w:val="24"/>
          <w:szCs w:val="24"/>
        </w:rPr>
      </w:pPr>
      <w:r>
        <w:rPr>
          <w:sz w:val="24"/>
          <w:szCs w:val="24"/>
        </w:rPr>
        <w:t>（一）建设地点、规模、主要建设内容</w:t>
      </w:r>
    </w:p>
    <w:p>
      <w:pPr>
        <w:spacing w:line="460" w:lineRule="exact"/>
        <w:ind w:firstLine="480" w:firstLineChars="200"/>
        <w:rPr>
          <w:rFonts w:hint="eastAsia"/>
          <w:sz w:val="24"/>
          <w:szCs w:val="24"/>
          <w:lang w:eastAsia="zh-CN"/>
        </w:rPr>
      </w:pPr>
      <w:r>
        <w:rPr>
          <w:rFonts w:hint="eastAsia"/>
          <w:sz w:val="24"/>
          <w:szCs w:val="24"/>
          <w:lang w:eastAsia="zh-CN"/>
        </w:rPr>
        <w:t>青岛征洋链传动厂位于平度市白沙河街道中李付庄村1号，该公司摩托链条加工项目于2007年8月30日经平度市环境保护局审批（平环建字〔2007〕063号），并于2007年10月18日通过平度市环境保护局竣工环保验收。</w:t>
      </w:r>
    </w:p>
    <w:p>
      <w:pPr>
        <w:spacing w:line="460" w:lineRule="exact"/>
        <w:ind w:firstLine="480" w:firstLineChars="200"/>
        <w:rPr>
          <w:rFonts w:hint="eastAsia"/>
          <w:sz w:val="24"/>
          <w:szCs w:val="24"/>
          <w:lang w:eastAsia="zh-CN"/>
        </w:rPr>
      </w:pPr>
      <w:r>
        <w:rPr>
          <w:rFonts w:hint="eastAsia"/>
          <w:sz w:val="24"/>
          <w:szCs w:val="24"/>
          <w:lang w:eastAsia="zh-CN"/>
        </w:rPr>
        <w:t>因生产需要，公司投资500万元利用现有厂区（南厂区）及新购置厂房（北厂区）建设传动链条生产制造项目（已投产），占地面积16000平方米，建筑面积11000平方米，主要从事传动链条生产制造，项目劳动定员110人、年工作312d，三班制，每班8h。年生产链条产品4000吨。生产工艺：原材料→机加工→滚加工（生滚）→热处理（淬火）→回火→抛丸/滚加工（熟滚）→淋油→筛选→装配→预拉→上油→跑合→拆节→铆头→环接→终检→包装→入库。</w:t>
      </w:r>
    </w:p>
    <w:p>
      <w:pPr>
        <w:spacing w:line="460" w:lineRule="exact"/>
        <w:ind w:firstLine="480" w:firstLineChars="200"/>
        <w:rPr>
          <w:sz w:val="24"/>
          <w:szCs w:val="24"/>
        </w:rPr>
      </w:pPr>
      <w:r>
        <w:rPr>
          <w:sz w:val="24"/>
          <w:szCs w:val="24"/>
        </w:rPr>
        <w:t>（二）建设过程及环保审批情况</w:t>
      </w:r>
    </w:p>
    <w:p>
      <w:pPr>
        <w:spacing w:line="460" w:lineRule="exact"/>
        <w:ind w:firstLine="480" w:firstLineChars="200"/>
        <w:rPr>
          <w:rFonts w:hint="eastAsia"/>
          <w:sz w:val="24"/>
          <w:szCs w:val="24"/>
        </w:rPr>
      </w:pPr>
      <w:r>
        <w:rPr>
          <w:rFonts w:hint="eastAsia"/>
          <w:sz w:val="24"/>
          <w:szCs w:val="24"/>
        </w:rPr>
        <w:t>2020年9月，受企业委托，青岛三资环境技术服务有限公司对项目进行了环境影响评价，编制完成了《青岛征洋链传动厂传动链条生产制造项目环境影响报告书》。</w:t>
      </w:r>
    </w:p>
    <w:p>
      <w:pPr>
        <w:spacing w:line="460" w:lineRule="exact"/>
        <w:ind w:firstLine="480" w:firstLineChars="200"/>
        <w:rPr>
          <w:rFonts w:hint="eastAsia"/>
          <w:sz w:val="24"/>
          <w:szCs w:val="24"/>
        </w:rPr>
      </w:pPr>
      <w:r>
        <w:rPr>
          <w:rFonts w:hint="eastAsia"/>
          <w:sz w:val="24"/>
          <w:szCs w:val="24"/>
        </w:rPr>
        <w:t>2021年2月24日，青岛市生态环境局平度分局以平环审﹝2021﹞38号文件对项目环境影响报告书进行了批复。</w:t>
      </w:r>
    </w:p>
    <w:p>
      <w:pPr>
        <w:spacing w:line="460" w:lineRule="exact"/>
        <w:ind w:firstLine="480" w:firstLineChars="200"/>
        <w:rPr>
          <w:rFonts w:hint="eastAsia"/>
          <w:sz w:val="24"/>
          <w:szCs w:val="24"/>
        </w:rPr>
      </w:pPr>
      <w:r>
        <w:rPr>
          <w:rFonts w:hint="eastAsia"/>
          <w:sz w:val="24"/>
          <w:szCs w:val="24"/>
        </w:rPr>
        <w:t>项目于2020年10月开工建设，2020年12月建设完成。</w:t>
      </w:r>
    </w:p>
    <w:p>
      <w:pPr>
        <w:spacing w:line="460" w:lineRule="exact"/>
        <w:ind w:firstLine="480" w:firstLineChars="200"/>
        <w:rPr>
          <w:sz w:val="24"/>
          <w:szCs w:val="24"/>
        </w:rPr>
      </w:pPr>
      <w:r>
        <w:rPr>
          <w:sz w:val="24"/>
          <w:szCs w:val="24"/>
        </w:rPr>
        <w:t>（三）投资情况</w:t>
      </w:r>
    </w:p>
    <w:p>
      <w:pPr>
        <w:spacing w:line="460" w:lineRule="exact"/>
        <w:ind w:firstLine="480" w:firstLineChars="200"/>
        <w:rPr>
          <w:rFonts w:hint="eastAsia"/>
          <w:sz w:val="24"/>
          <w:szCs w:val="24"/>
        </w:rPr>
      </w:pPr>
      <w:r>
        <w:rPr>
          <w:rFonts w:hint="eastAsia"/>
          <w:sz w:val="24"/>
          <w:szCs w:val="24"/>
        </w:rPr>
        <w:t>项目总投资500万元，其中环保投资25万元，占总投资约5.0%。</w:t>
      </w:r>
    </w:p>
    <w:p>
      <w:pPr>
        <w:spacing w:line="460" w:lineRule="exact"/>
        <w:ind w:firstLine="482" w:firstLineChars="200"/>
        <w:rPr>
          <w:b/>
          <w:sz w:val="24"/>
          <w:szCs w:val="24"/>
        </w:rPr>
      </w:pPr>
      <w:r>
        <w:rPr>
          <w:b/>
          <w:sz w:val="24"/>
          <w:szCs w:val="24"/>
        </w:rPr>
        <w:t>二、项目变动情况</w:t>
      </w:r>
    </w:p>
    <w:p>
      <w:pPr>
        <w:spacing w:line="460" w:lineRule="exact"/>
        <w:ind w:firstLine="480" w:firstLineChars="200"/>
        <w:rPr>
          <w:rFonts w:hint="eastAsia"/>
          <w:sz w:val="24"/>
          <w:szCs w:val="24"/>
          <w:lang w:val="en-US" w:eastAsia="zh-CN"/>
        </w:rPr>
      </w:pPr>
      <w:r>
        <w:rPr>
          <w:rFonts w:hint="eastAsia"/>
          <w:sz w:val="24"/>
          <w:szCs w:val="24"/>
          <w:lang w:val="en-US" w:eastAsia="zh-CN"/>
        </w:rPr>
        <w:t>本项目实际建设情况与环评及批复要求无变动。</w:t>
      </w:r>
    </w:p>
    <w:p>
      <w:pPr>
        <w:spacing w:line="460" w:lineRule="exact"/>
        <w:ind w:firstLine="482" w:firstLineChars="200"/>
        <w:rPr>
          <w:b/>
          <w:sz w:val="24"/>
          <w:szCs w:val="24"/>
        </w:rPr>
      </w:pPr>
      <w:r>
        <w:rPr>
          <w:b/>
          <w:sz w:val="24"/>
          <w:szCs w:val="24"/>
        </w:rPr>
        <w:t>三、环境保护设施建设情况</w:t>
      </w:r>
    </w:p>
    <w:p>
      <w:pPr>
        <w:spacing w:line="460" w:lineRule="exact"/>
        <w:ind w:firstLine="480" w:firstLineChars="200"/>
        <w:rPr>
          <w:sz w:val="24"/>
          <w:szCs w:val="24"/>
        </w:rPr>
      </w:pPr>
      <w:r>
        <w:rPr>
          <w:sz w:val="24"/>
          <w:szCs w:val="24"/>
        </w:rPr>
        <w:t>（一）废水</w:t>
      </w:r>
    </w:p>
    <w:p>
      <w:pPr>
        <w:spacing w:line="460" w:lineRule="exact"/>
        <w:ind w:firstLine="480" w:firstLineChars="200"/>
        <w:rPr>
          <w:rFonts w:hint="eastAsia"/>
          <w:sz w:val="24"/>
          <w:szCs w:val="24"/>
        </w:rPr>
      </w:pPr>
      <w:r>
        <w:rPr>
          <w:rFonts w:hint="eastAsia"/>
          <w:sz w:val="24"/>
          <w:szCs w:val="24"/>
        </w:rPr>
        <w:t>项目营运期产生的废水主要为职工生活污水，项目无生产废水排放。</w:t>
      </w:r>
    </w:p>
    <w:p>
      <w:pPr>
        <w:spacing w:line="460" w:lineRule="exact"/>
        <w:ind w:firstLine="480" w:firstLineChars="200"/>
        <w:rPr>
          <w:rFonts w:hint="eastAsia"/>
          <w:sz w:val="24"/>
          <w:szCs w:val="24"/>
        </w:rPr>
      </w:pPr>
      <w:r>
        <w:rPr>
          <w:rFonts w:hint="eastAsia"/>
          <w:sz w:val="24"/>
          <w:szCs w:val="24"/>
        </w:rPr>
        <w:t>生产用水主要为滚加工（生滚）和滚加工（熟滚）工序，用水量约为100t/a，废水经厂区污水处理设施处理后循环利用。生产过程产生的废水和厂区初期雨水经厂区自建污水处理设备处理后回用于生产，不外排。</w:t>
      </w:r>
    </w:p>
    <w:p>
      <w:pPr>
        <w:spacing w:line="460" w:lineRule="exact"/>
        <w:ind w:firstLine="480" w:firstLineChars="200"/>
        <w:rPr>
          <w:rFonts w:hint="eastAsia"/>
          <w:sz w:val="24"/>
          <w:szCs w:val="24"/>
        </w:rPr>
      </w:pPr>
      <w:r>
        <w:rPr>
          <w:rFonts w:hint="eastAsia"/>
          <w:sz w:val="24"/>
          <w:szCs w:val="24"/>
        </w:rPr>
        <w:t>生活污水经化粪池（防渗）处理后定期清运做农肥。</w:t>
      </w:r>
    </w:p>
    <w:p>
      <w:pPr>
        <w:spacing w:line="460" w:lineRule="exact"/>
        <w:ind w:firstLine="480" w:firstLineChars="200"/>
        <w:rPr>
          <w:sz w:val="24"/>
          <w:szCs w:val="24"/>
        </w:rPr>
      </w:pPr>
      <w:r>
        <w:rPr>
          <w:sz w:val="24"/>
          <w:szCs w:val="24"/>
        </w:rPr>
        <w:t>（二）废气</w:t>
      </w:r>
    </w:p>
    <w:p>
      <w:pPr>
        <w:spacing w:line="460" w:lineRule="exact"/>
        <w:ind w:firstLine="480" w:firstLineChars="200"/>
        <w:rPr>
          <w:rFonts w:hint="eastAsia"/>
          <w:bCs/>
          <w:sz w:val="24"/>
          <w:szCs w:val="24"/>
        </w:rPr>
      </w:pPr>
      <w:r>
        <w:rPr>
          <w:rFonts w:hint="eastAsia"/>
          <w:bCs/>
          <w:sz w:val="24"/>
          <w:szCs w:val="24"/>
        </w:rPr>
        <w:t>项目淬火渗碳工序产生的烟尘、淬火油冷却废气、上油工序产生的废气通过集气罩收集后通过管道排入一套“湿式除尘系统+油烟净化系统”处理后通过15m排气筒P1排放；抛丸产生的粉尘经管道收集后由抛丸机自带布袋除尘器处理后通过15m高排气筒P2；</w:t>
      </w:r>
    </w:p>
    <w:p>
      <w:pPr>
        <w:spacing w:line="460" w:lineRule="exact"/>
        <w:ind w:firstLine="480" w:firstLineChars="200"/>
        <w:rPr>
          <w:rFonts w:hint="eastAsia"/>
          <w:bCs/>
          <w:sz w:val="24"/>
          <w:szCs w:val="24"/>
        </w:rPr>
      </w:pPr>
      <w:r>
        <w:rPr>
          <w:rFonts w:hint="eastAsia"/>
          <w:bCs/>
          <w:sz w:val="24"/>
          <w:szCs w:val="24"/>
        </w:rPr>
        <w:t>项目无组织废气主要为生产过程中未被收集的有机废气和烟尘，于车间内无组织排放，企业通过加强生产管理，密闭生产车间，来降低无组织废气的排放。</w:t>
      </w:r>
    </w:p>
    <w:p>
      <w:pPr>
        <w:spacing w:line="460" w:lineRule="exact"/>
        <w:ind w:firstLine="480" w:firstLineChars="200"/>
        <w:rPr>
          <w:sz w:val="24"/>
          <w:szCs w:val="24"/>
        </w:rPr>
      </w:pPr>
      <w:r>
        <w:rPr>
          <w:sz w:val="24"/>
          <w:szCs w:val="24"/>
        </w:rPr>
        <w:t>（三）噪声</w:t>
      </w:r>
    </w:p>
    <w:p>
      <w:pPr>
        <w:spacing w:line="460" w:lineRule="exact"/>
        <w:ind w:firstLine="480" w:firstLineChars="200"/>
        <w:rPr>
          <w:rFonts w:hint="eastAsia"/>
          <w:bCs/>
          <w:sz w:val="24"/>
          <w:szCs w:val="24"/>
        </w:rPr>
      </w:pPr>
      <w:r>
        <w:rPr>
          <w:rFonts w:hint="eastAsia"/>
          <w:bCs/>
          <w:sz w:val="24"/>
          <w:szCs w:val="24"/>
        </w:rPr>
        <w:t>项目营运期噪声主要是冲床、卷管机、销轴机、磨床、滚筒热处理炉、热处理电阻炉、六角滚筒、抛丸机、串片机、四柱选管机、装配机、压力机、压铆机、拆整机、静拉机、预拉机、叉车、风机等机械设备运行产生的噪声。企业通过选用低噪声设备，合理布局，采取减振、消音、隔声等措施降低噪声的影响。</w:t>
      </w:r>
    </w:p>
    <w:p>
      <w:pPr>
        <w:spacing w:line="460" w:lineRule="exact"/>
        <w:ind w:firstLine="480" w:firstLineChars="200"/>
        <w:rPr>
          <w:sz w:val="24"/>
          <w:szCs w:val="24"/>
        </w:rPr>
      </w:pPr>
      <w:r>
        <w:rPr>
          <w:sz w:val="24"/>
          <w:szCs w:val="24"/>
        </w:rPr>
        <w:t>（四）固废</w:t>
      </w:r>
    </w:p>
    <w:p>
      <w:pPr>
        <w:spacing w:line="460" w:lineRule="exact"/>
        <w:ind w:firstLine="480" w:firstLineChars="200"/>
        <w:rPr>
          <w:rFonts w:hint="eastAsia"/>
          <w:bCs/>
          <w:sz w:val="24"/>
          <w:szCs w:val="24"/>
        </w:rPr>
      </w:pPr>
      <w:r>
        <w:rPr>
          <w:rFonts w:hint="eastAsia"/>
          <w:bCs/>
          <w:sz w:val="24"/>
          <w:szCs w:val="24"/>
        </w:rPr>
        <w:t>项目营运期固废主要有金属下脚料、回收金属粉尘、油水分离器收集的废油、沉淀池沉渣、废钢丸、废包装材料，废淬火油、废防锈油、废油桶、淬火油烟净化器收集的废油、废含油抹布，以及职工生活垃圾。</w:t>
      </w:r>
    </w:p>
    <w:p>
      <w:pPr>
        <w:spacing w:line="460" w:lineRule="exact"/>
        <w:ind w:firstLine="480" w:firstLineChars="200"/>
        <w:rPr>
          <w:rFonts w:hint="eastAsia"/>
          <w:bCs/>
          <w:sz w:val="24"/>
          <w:szCs w:val="24"/>
        </w:rPr>
      </w:pPr>
      <w:r>
        <w:rPr>
          <w:rFonts w:hint="eastAsia"/>
          <w:bCs/>
          <w:sz w:val="24"/>
          <w:szCs w:val="24"/>
        </w:rPr>
        <w:t>一般固体废物主要包括：金属下脚料、回收金属粉尘、废钢丸、废包装材料，均暂存一般固废区，定期集中外售处理；</w:t>
      </w:r>
    </w:p>
    <w:p>
      <w:pPr>
        <w:spacing w:line="460" w:lineRule="exact"/>
        <w:ind w:firstLine="480" w:firstLineChars="200"/>
        <w:rPr>
          <w:rFonts w:hint="eastAsia"/>
          <w:bCs/>
          <w:sz w:val="24"/>
          <w:szCs w:val="24"/>
        </w:rPr>
      </w:pPr>
      <w:r>
        <w:rPr>
          <w:rFonts w:hint="eastAsia"/>
          <w:bCs/>
          <w:sz w:val="24"/>
          <w:szCs w:val="24"/>
        </w:rPr>
        <w:t>危险废物主要包括：废淬火油、废防锈油、废油桶、油水分离器收集的废油、沉淀池沉渣、淬火油烟净化器收集的废油、废含油抹布，其中废含油抹布混入生活垃圾由环卫部门定期清运；其它危废均集中收集后暂存危险废物暂存间，定期委托有资质单位进行处置；</w:t>
      </w:r>
    </w:p>
    <w:p>
      <w:pPr>
        <w:spacing w:line="460" w:lineRule="exact"/>
        <w:ind w:firstLine="480" w:firstLineChars="200"/>
        <w:rPr>
          <w:rFonts w:hint="eastAsia"/>
          <w:bCs/>
          <w:sz w:val="24"/>
          <w:szCs w:val="24"/>
        </w:rPr>
      </w:pPr>
      <w:r>
        <w:rPr>
          <w:rFonts w:hint="eastAsia"/>
          <w:bCs/>
          <w:sz w:val="24"/>
          <w:szCs w:val="24"/>
        </w:rPr>
        <w:t>职工生活产生的生活垃圾定点放置，由环卫部门定期清运。</w:t>
      </w:r>
    </w:p>
    <w:p>
      <w:pPr>
        <w:spacing w:line="460" w:lineRule="exact"/>
        <w:ind w:firstLine="480" w:firstLineChars="200"/>
        <w:rPr>
          <w:sz w:val="24"/>
          <w:szCs w:val="24"/>
        </w:rPr>
      </w:pPr>
      <w:r>
        <w:rPr>
          <w:sz w:val="24"/>
          <w:szCs w:val="24"/>
        </w:rPr>
        <w:t>（五）环境风险</w:t>
      </w:r>
    </w:p>
    <w:p>
      <w:pPr>
        <w:spacing w:line="460" w:lineRule="exact"/>
        <w:ind w:firstLine="480" w:firstLineChars="200"/>
        <w:rPr>
          <w:color w:val="auto"/>
          <w:sz w:val="24"/>
          <w:szCs w:val="24"/>
        </w:rPr>
      </w:pPr>
      <w:r>
        <w:rPr>
          <w:bCs/>
          <w:color w:val="auto"/>
          <w:sz w:val="24"/>
          <w:szCs w:val="24"/>
        </w:rPr>
        <w:t>企业编制了《</w:t>
      </w:r>
      <w:r>
        <w:rPr>
          <w:rFonts w:hint="eastAsia"/>
          <w:bCs/>
          <w:color w:val="auto"/>
          <w:sz w:val="24"/>
          <w:szCs w:val="24"/>
          <w:lang w:eastAsia="zh-CN"/>
        </w:rPr>
        <w:t>青岛征洋链传动厂</w:t>
      </w:r>
      <w:r>
        <w:rPr>
          <w:bCs/>
          <w:color w:val="auto"/>
          <w:sz w:val="24"/>
          <w:szCs w:val="24"/>
        </w:rPr>
        <w:t>突发环境事件应急预案》，并在当地环保部门备案</w:t>
      </w:r>
      <w:r>
        <w:rPr>
          <w:rFonts w:hint="eastAsia"/>
          <w:bCs/>
          <w:color w:val="auto"/>
          <w:sz w:val="24"/>
          <w:szCs w:val="24"/>
        </w:rPr>
        <w:t>（备案号：37023-20210610-186-L）</w:t>
      </w:r>
      <w:r>
        <w:rPr>
          <w:bCs/>
          <w:color w:val="auto"/>
          <w:sz w:val="24"/>
          <w:szCs w:val="24"/>
        </w:rPr>
        <w:t>。</w:t>
      </w:r>
    </w:p>
    <w:p>
      <w:pPr>
        <w:spacing w:line="460" w:lineRule="exact"/>
        <w:ind w:firstLine="482" w:firstLineChars="200"/>
        <w:rPr>
          <w:b/>
          <w:sz w:val="24"/>
          <w:szCs w:val="24"/>
        </w:rPr>
      </w:pPr>
      <w:r>
        <w:rPr>
          <w:b/>
          <w:sz w:val="24"/>
          <w:szCs w:val="24"/>
        </w:rPr>
        <w:t>四、环保措施调试效果</w:t>
      </w:r>
    </w:p>
    <w:p>
      <w:pPr>
        <w:spacing w:line="460" w:lineRule="exact"/>
        <w:ind w:firstLine="480" w:firstLineChars="200"/>
        <w:rPr>
          <w:sz w:val="24"/>
          <w:szCs w:val="24"/>
        </w:rPr>
      </w:pPr>
      <w:r>
        <w:rPr>
          <w:rFonts w:hint="eastAsia"/>
          <w:sz w:val="24"/>
          <w:szCs w:val="24"/>
          <w:lang w:eastAsia="zh-CN"/>
        </w:rPr>
        <w:t>青岛征洋链传动厂</w:t>
      </w:r>
      <w:r>
        <w:rPr>
          <w:sz w:val="24"/>
          <w:szCs w:val="24"/>
        </w:rPr>
        <w:t>验收监测报告表明，验收监测期间：</w:t>
      </w:r>
    </w:p>
    <w:p>
      <w:pPr>
        <w:spacing w:line="460" w:lineRule="exact"/>
        <w:ind w:firstLine="480" w:firstLineChars="200"/>
        <w:rPr>
          <w:rFonts w:hint="eastAsia"/>
          <w:bCs/>
          <w:sz w:val="24"/>
          <w:szCs w:val="24"/>
        </w:rPr>
      </w:pPr>
      <w:r>
        <w:rPr>
          <w:rFonts w:hint="eastAsia"/>
          <w:bCs/>
          <w:sz w:val="24"/>
          <w:szCs w:val="24"/>
        </w:rPr>
        <w:t>生产废气排气筒P1中VOCS排放浓度和排放速率满足《挥发性有机物排放标准 第7部分：其他行业》（DB 37/2801.7-2019）表1中“非重点行业”II时段排放要求；颗粒物排放浓度满足《区域性大气污染物综合排放标准》（DB 37/2376-2019）表1中重点控制区大气污染物排放浓度限值要求；排放速率执行《大气污染物综合排放标准》（GB 16297-1996）表2中二级标准。</w:t>
      </w:r>
    </w:p>
    <w:p>
      <w:pPr>
        <w:spacing w:line="460" w:lineRule="exact"/>
        <w:ind w:firstLine="480" w:firstLineChars="200"/>
        <w:rPr>
          <w:rFonts w:hint="eastAsia"/>
          <w:bCs/>
          <w:sz w:val="24"/>
          <w:szCs w:val="24"/>
        </w:rPr>
      </w:pPr>
      <w:r>
        <w:rPr>
          <w:rFonts w:hint="eastAsia"/>
          <w:bCs/>
          <w:sz w:val="24"/>
          <w:szCs w:val="24"/>
        </w:rPr>
        <w:t>抛丸废气排气筒P2中颗粒物排放浓度满足《区域性大气污染物综合排放标准》（DB 37/2376-2019）表1中重点控制区大气污染物排放浓度限值要求；排放速率满足《大气污染物综合排放标准》（GB16297-1996）表2中二级标准。</w:t>
      </w:r>
    </w:p>
    <w:p>
      <w:pPr>
        <w:spacing w:line="460" w:lineRule="exact"/>
        <w:ind w:firstLine="480" w:firstLineChars="200"/>
        <w:rPr>
          <w:rFonts w:hint="eastAsia"/>
          <w:bCs/>
          <w:sz w:val="24"/>
          <w:szCs w:val="24"/>
        </w:rPr>
      </w:pPr>
      <w:r>
        <w:rPr>
          <w:rFonts w:hint="eastAsia"/>
          <w:bCs/>
          <w:sz w:val="24"/>
          <w:szCs w:val="24"/>
        </w:rPr>
        <w:t>无组织排放废气中颗粒物满足《大气污染物综合排放标准》（GB 16297-1996）表2中二级标准；VOCS满足《《挥发性有机物排放标准 第7部分：其他行业》（DB 37/2801.7-2019）表2厂界监控点浓度限值。</w:t>
      </w:r>
    </w:p>
    <w:p>
      <w:pPr>
        <w:spacing w:line="460" w:lineRule="exact"/>
        <w:ind w:firstLine="480" w:firstLineChars="200"/>
        <w:rPr>
          <w:rFonts w:hint="eastAsia" w:eastAsia="宋体"/>
          <w:bCs/>
          <w:sz w:val="24"/>
          <w:szCs w:val="24"/>
          <w:lang w:val="en-US" w:eastAsia="zh-CN"/>
        </w:rPr>
      </w:pPr>
      <w:r>
        <w:rPr>
          <w:rFonts w:hint="eastAsia" w:eastAsia="宋体"/>
          <w:bCs/>
          <w:sz w:val="24"/>
          <w:szCs w:val="24"/>
          <w:lang w:val="en-US" w:eastAsia="zh-CN"/>
        </w:rPr>
        <w:t>厂界噪声满足</w:t>
      </w:r>
      <w:r>
        <w:rPr>
          <w:rFonts w:hint="eastAsia" w:eastAsia="宋体"/>
          <w:bCs/>
          <w:sz w:val="24"/>
          <w:szCs w:val="24"/>
        </w:rPr>
        <w:t>《</w:t>
      </w:r>
      <w:r>
        <w:rPr>
          <w:rFonts w:hint="eastAsia" w:eastAsia="宋体"/>
          <w:bCs/>
          <w:sz w:val="24"/>
          <w:szCs w:val="24"/>
          <w:lang w:val="en-US" w:eastAsia="zh-CN"/>
        </w:rPr>
        <w:t>工业企业厂界环境噪声排放标准</w:t>
      </w:r>
      <w:r>
        <w:rPr>
          <w:rFonts w:hint="eastAsia" w:eastAsia="宋体"/>
          <w:bCs/>
          <w:sz w:val="24"/>
          <w:szCs w:val="24"/>
        </w:rPr>
        <w:t>》（GB 1</w:t>
      </w:r>
      <w:r>
        <w:rPr>
          <w:rFonts w:hint="eastAsia" w:eastAsia="宋体"/>
          <w:bCs/>
          <w:sz w:val="24"/>
          <w:szCs w:val="24"/>
          <w:lang w:val="en-US" w:eastAsia="zh-CN"/>
        </w:rPr>
        <w:t>2348</w:t>
      </w:r>
      <w:r>
        <w:rPr>
          <w:rFonts w:hint="eastAsia" w:eastAsia="宋体"/>
          <w:bCs/>
          <w:sz w:val="24"/>
          <w:szCs w:val="24"/>
        </w:rPr>
        <w:t>-</w:t>
      </w:r>
      <w:r>
        <w:rPr>
          <w:rFonts w:hint="eastAsia" w:eastAsia="宋体"/>
          <w:bCs/>
          <w:sz w:val="24"/>
          <w:szCs w:val="24"/>
          <w:lang w:val="en-US" w:eastAsia="zh-CN"/>
        </w:rPr>
        <w:t>2008</w:t>
      </w:r>
      <w:r>
        <w:rPr>
          <w:rFonts w:hint="eastAsia" w:eastAsia="宋体"/>
          <w:bCs/>
          <w:sz w:val="24"/>
          <w:szCs w:val="24"/>
        </w:rPr>
        <w:t>）表</w:t>
      </w:r>
      <w:r>
        <w:rPr>
          <w:rFonts w:hint="eastAsia" w:eastAsia="宋体"/>
          <w:bCs/>
          <w:sz w:val="24"/>
          <w:szCs w:val="24"/>
          <w:lang w:val="en-US" w:eastAsia="zh-CN"/>
        </w:rPr>
        <w:t>1中</w:t>
      </w:r>
      <w:r>
        <w:rPr>
          <w:rFonts w:hint="eastAsia"/>
          <w:bCs/>
          <w:sz w:val="24"/>
          <w:szCs w:val="24"/>
          <w:lang w:val="en-US" w:eastAsia="zh-CN"/>
        </w:rPr>
        <w:t>2</w:t>
      </w:r>
      <w:r>
        <w:rPr>
          <w:rFonts w:hint="eastAsia" w:eastAsia="宋体"/>
          <w:bCs/>
          <w:sz w:val="24"/>
          <w:szCs w:val="24"/>
          <w:lang w:val="en-US" w:eastAsia="zh-CN"/>
        </w:rPr>
        <w:t>类</w:t>
      </w:r>
      <w:r>
        <w:rPr>
          <w:rFonts w:hint="eastAsia" w:eastAsia="宋体"/>
          <w:bCs/>
          <w:sz w:val="24"/>
          <w:szCs w:val="24"/>
        </w:rPr>
        <w:t>标准要求</w:t>
      </w:r>
      <w:r>
        <w:rPr>
          <w:rFonts w:hint="eastAsia" w:eastAsia="宋体"/>
          <w:bCs/>
          <w:sz w:val="24"/>
          <w:szCs w:val="24"/>
          <w:lang w:eastAsia="zh-CN"/>
        </w:rPr>
        <w:t>。</w:t>
      </w:r>
    </w:p>
    <w:p>
      <w:pPr>
        <w:spacing w:line="460" w:lineRule="exact"/>
        <w:ind w:firstLine="482" w:firstLineChars="200"/>
        <w:rPr>
          <w:b/>
          <w:sz w:val="24"/>
          <w:szCs w:val="24"/>
        </w:rPr>
      </w:pPr>
      <w:r>
        <w:rPr>
          <w:b/>
          <w:sz w:val="24"/>
          <w:szCs w:val="24"/>
        </w:rPr>
        <w:t>五、验收结论</w:t>
      </w:r>
    </w:p>
    <w:p>
      <w:pPr>
        <w:spacing w:line="460" w:lineRule="exact"/>
        <w:ind w:firstLine="480" w:firstLineChars="200"/>
        <w:rPr>
          <w:sz w:val="24"/>
          <w:szCs w:val="24"/>
        </w:rPr>
      </w:pPr>
      <w:r>
        <w:rPr>
          <w:sz w:val="24"/>
          <w:szCs w:val="24"/>
        </w:rPr>
        <w:t>项目已按环评和批复要求完成</w:t>
      </w:r>
      <w:r>
        <w:rPr>
          <w:rFonts w:hint="eastAsia"/>
          <w:sz w:val="24"/>
          <w:szCs w:val="24"/>
          <w:lang w:eastAsia="zh-CN"/>
        </w:rPr>
        <w:t>“</w:t>
      </w:r>
      <w:r>
        <w:rPr>
          <w:sz w:val="24"/>
          <w:szCs w:val="24"/>
        </w:rPr>
        <w:t>三同时</w:t>
      </w:r>
      <w:r>
        <w:rPr>
          <w:rFonts w:hint="eastAsia"/>
          <w:sz w:val="24"/>
          <w:szCs w:val="24"/>
          <w:lang w:eastAsia="zh-CN"/>
        </w:rPr>
        <w:t>”</w:t>
      </w:r>
      <w:r>
        <w:rPr>
          <w:sz w:val="24"/>
          <w:szCs w:val="24"/>
        </w:rPr>
        <w:t>建设，无重大变动，污染物达标排放，验收监测报告结论可信，验收合格。</w:t>
      </w:r>
    </w:p>
    <w:p>
      <w:pPr>
        <w:spacing w:line="460" w:lineRule="exact"/>
        <w:ind w:firstLine="482" w:firstLineChars="200"/>
        <w:rPr>
          <w:b/>
          <w:sz w:val="24"/>
          <w:szCs w:val="24"/>
        </w:rPr>
      </w:pPr>
      <w:r>
        <w:rPr>
          <w:b/>
          <w:sz w:val="24"/>
          <w:szCs w:val="24"/>
        </w:rPr>
        <w:t>六、后续要求</w:t>
      </w:r>
    </w:p>
    <w:p>
      <w:pPr>
        <w:spacing w:line="460" w:lineRule="exact"/>
        <w:ind w:firstLine="480" w:firstLineChars="200"/>
        <w:rPr>
          <w:rFonts w:hint="eastAsia"/>
          <w:sz w:val="24"/>
          <w:szCs w:val="24"/>
        </w:rPr>
      </w:pPr>
      <w:r>
        <w:rPr>
          <w:rFonts w:hint="eastAsia"/>
          <w:sz w:val="24"/>
          <w:szCs w:val="24"/>
        </w:rPr>
        <w:t>1、加强环保设施的管理，确保污染物长期稳定达标排放。</w:t>
      </w:r>
    </w:p>
    <w:p>
      <w:pPr>
        <w:spacing w:line="460" w:lineRule="exact"/>
        <w:ind w:firstLine="480" w:firstLineChars="200"/>
        <w:rPr>
          <w:rFonts w:hint="eastAsia"/>
          <w:sz w:val="24"/>
          <w:szCs w:val="24"/>
        </w:rPr>
      </w:pPr>
      <w:r>
        <w:rPr>
          <w:rFonts w:hint="eastAsia"/>
          <w:sz w:val="24"/>
          <w:szCs w:val="24"/>
        </w:rPr>
        <w:t>2、</w:t>
      </w:r>
      <w:r>
        <w:rPr>
          <w:rFonts w:hint="eastAsia"/>
          <w:sz w:val="24"/>
          <w:szCs w:val="24"/>
          <w:lang w:val="en-US" w:eastAsia="zh-CN"/>
        </w:rPr>
        <w:t>规范危废库</w:t>
      </w:r>
      <w:r>
        <w:rPr>
          <w:rFonts w:hint="eastAsia"/>
          <w:sz w:val="24"/>
          <w:szCs w:val="24"/>
        </w:rPr>
        <w:t>。</w:t>
      </w:r>
    </w:p>
    <w:p>
      <w:pPr>
        <w:spacing w:line="460" w:lineRule="exact"/>
        <w:ind w:firstLine="482" w:firstLineChars="200"/>
        <w:jc w:val="right"/>
        <w:rPr>
          <w:rFonts w:hint="eastAsia" w:eastAsia="宋体"/>
          <w:b/>
          <w:bCs/>
          <w:sz w:val="24"/>
          <w:lang w:eastAsia="zh-CN"/>
        </w:rPr>
      </w:pPr>
      <w:r>
        <w:rPr>
          <w:rFonts w:hint="eastAsia"/>
          <w:b/>
          <w:bCs/>
          <w:sz w:val="24"/>
          <w:lang w:eastAsia="zh-CN"/>
        </w:rPr>
        <w:t>青岛征洋链传动厂</w:t>
      </w:r>
    </w:p>
    <w:p>
      <w:pPr>
        <w:spacing w:line="460" w:lineRule="exact"/>
        <w:ind w:firstLine="482" w:firstLineChars="200"/>
        <w:jc w:val="right"/>
        <w:rPr>
          <w:b/>
          <w:bCs/>
        </w:rPr>
      </w:pPr>
      <w:r>
        <w:rPr>
          <w:b/>
          <w:bCs/>
          <w:sz w:val="24"/>
        </w:rPr>
        <w:t>20</w:t>
      </w:r>
      <w:r>
        <w:rPr>
          <w:rFonts w:hint="eastAsia"/>
          <w:b/>
          <w:bCs/>
          <w:sz w:val="24"/>
          <w:lang w:val="en-US" w:eastAsia="zh-CN"/>
        </w:rPr>
        <w:t>21</w:t>
      </w:r>
      <w:r>
        <w:rPr>
          <w:b/>
          <w:bCs/>
          <w:sz w:val="24"/>
        </w:rPr>
        <w:t>年</w:t>
      </w:r>
      <w:r>
        <w:rPr>
          <w:rFonts w:hint="eastAsia"/>
          <w:b/>
          <w:bCs/>
          <w:sz w:val="24"/>
          <w:lang w:val="en-US" w:eastAsia="zh-CN"/>
        </w:rPr>
        <w:t>8</w:t>
      </w:r>
      <w:r>
        <w:rPr>
          <w:b/>
          <w:bCs/>
          <w:sz w:val="24"/>
        </w:rPr>
        <w:t>月</w:t>
      </w:r>
      <w:r>
        <w:rPr>
          <w:rFonts w:hint="eastAsia"/>
          <w:b/>
          <w:bCs/>
          <w:sz w:val="24"/>
          <w:lang w:val="en-US" w:eastAsia="zh-CN"/>
        </w:rPr>
        <w:t>3</w:t>
      </w:r>
      <w:r>
        <w:rPr>
          <w:b/>
          <w:bCs/>
          <w:sz w:val="24"/>
        </w:rPr>
        <w:t>日</w:t>
      </w:r>
    </w:p>
    <w:p>
      <w:pPr>
        <w:spacing w:line="420" w:lineRule="exact"/>
        <w:rPr>
          <w:b/>
          <w:bCs/>
          <w:sz w:val="36"/>
          <w:szCs w:val="36"/>
        </w:rPr>
      </w:pPr>
      <w:r>
        <w:rPr>
          <w:b/>
          <w:bCs/>
          <w:sz w:val="32"/>
          <w:szCs w:val="32"/>
        </w:rPr>
        <w:br w:type="page"/>
      </w:r>
      <w:r>
        <w:rPr>
          <w:b/>
          <w:bCs/>
          <w:sz w:val="36"/>
          <w:szCs w:val="36"/>
        </w:rPr>
        <w:t>附件：</w:t>
      </w:r>
    </w:p>
    <w:p>
      <w:pPr>
        <w:spacing w:line="276" w:lineRule="auto"/>
        <w:jc w:val="center"/>
        <w:rPr>
          <w:rFonts w:hint="eastAsia"/>
          <w:b/>
          <w:sz w:val="36"/>
          <w:szCs w:val="21"/>
          <w:lang w:eastAsia="zh-CN"/>
        </w:rPr>
      </w:pPr>
      <w:r>
        <w:rPr>
          <w:rFonts w:hint="eastAsia"/>
          <w:b/>
          <w:sz w:val="36"/>
          <w:szCs w:val="21"/>
          <w:lang w:eastAsia="zh-CN"/>
        </w:rPr>
        <w:t>青岛征洋链传动厂</w:t>
      </w:r>
    </w:p>
    <w:p>
      <w:pPr>
        <w:spacing w:line="276" w:lineRule="auto"/>
        <w:jc w:val="center"/>
        <w:rPr>
          <w:rFonts w:hint="eastAsia" w:eastAsia="宋体"/>
          <w:sz w:val="22"/>
          <w:szCs w:val="21"/>
          <w:lang w:eastAsia="zh-CN"/>
        </w:rPr>
      </w:pPr>
      <w:r>
        <w:rPr>
          <w:rFonts w:hint="eastAsia"/>
          <w:b/>
          <w:sz w:val="36"/>
          <w:szCs w:val="21"/>
          <w:lang w:eastAsia="zh-CN"/>
        </w:rPr>
        <w:t>传动链条生产制造项目</w:t>
      </w:r>
    </w:p>
    <w:p>
      <w:pPr>
        <w:spacing w:line="276" w:lineRule="auto"/>
        <w:jc w:val="center"/>
        <w:rPr>
          <w:sz w:val="22"/>
          <w:szCs w:val="21"/>
        </w:rPr>
      </w:pPr>
      <w:r>
        <w:rPr>
          <w:b/>
          <w:sz w:val="36"/>
          <w:szCs w:val="21"/>
        </w:rPr>
        <w:t>竣工环境保护验收</w:t>
      </w:r>
      <w:r>
        <w:rPr>
          <w:rFonts w:hint="eastAsia"/>
          <w:b/>
          <w:sz w:val="36"/>
          <w:szCs w:val="21"/>
          <w:lang w:val="en-US" w:eastAsia="zh-CN"/>
        </w:rPr>
        <w:t>人员信息</w:t>
      </w:r>
    </w:p>
    <w:p>
      <w:pPr>
        <w:spacing w:line="420" w:lineRule="exact"/>
        <w:ind w:firstLine="440" w:firstLineChars="200"/>
        <w:rPr>
          <w:sz w:val="22"/>
          <w:szCs w:val="21"/>
        </w:rPr>
      </w:pPr>
    </w:p>
    <w:tbl>
      <w:tblPr>
        <w:tblStyle w:val="13"/>
        <w:tblW w:w="0" w:type="auto"/>
        <w:jc w:val="center"/>
        <w:tblLayout w:type="fixed"/>
        <w:tblCellMar>
          <w:top w:w="0" w:type="dxa"/>
          <w:left w:w="51" w:type="dxa"/>
          <w:bottom w:w="0" w:type="dxa"/>
          <w:right w:w="51" w:type="dxa"/>
        </w:tblCellMar>
      </w:tblPr>
      <w:tblGrid>
        <w:gridCol w:w="608"/>
        <w:gridCol w:w="1163"/>
        <w:gridCol w:w="944"/>
        <w:gridCol w:w="2662"/>
        <w:gridCol w:w="1104"/>
        <w:gridCol w:w="1800"/>
      </w:tblGrid>
      <w:tr>
        <w:tblPrEx>
          <w:tblCellMar>
            <w:top w:w="0" w:type="dxa"/>
            <w:left w:w="51" w:type="dxa"/>
            <w:bottom w:w="0" w:type="dxa"/>
            <w:right w:w="51" w:type="dxa"/>
          </w:tblCellMar>
        </w:tblPrEx>
        <w:trPr>
          <w:trHeight w:val="737" w:hRule="atLeast"/>
          <w:jc w:val="center"/>
        </w:trPr>
        <w:tc>
          <w:tcPr>
            <w:tcW w:w="17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验收组</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姓名</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单      位</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职务/</w:t>
            </w:r>
          </w:p>
          <w:p>
            <w:pPr>
              <w:snapToGrid w:val="0"/>
              <w:spacing w:before="120" w:beforeLines="50" w:line="240" w:lineRule="atLeast"/>
              <w:jc w:val="center"/>
              <w:rPr>
                <w:sz w:val="22"/>
                <w:szCs w:val="21"/>
              </w:rPr>
            </w:pPr>
            <w:r>
              <w:rPr>
                <w:b/>
                <w:snapToGrid w:val="0"/>
                <w:kern w:val="0"/>
                <w:sz w:val="28"/>
                <w:szCs w:val="28"/>
              </w:rPr>
              <w:t>职称</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签  名</w:t>
            </w:r>
          </w:p>
        </w:tc>
      </w:tr>
      <w:tr>
        <w:tblPrEx>
          <w:tblCellMar>
            <w:top w:w="0" w:type="dxa"/>
            <w:left w:w="51" w:type="dxa"/>
            <w:bottom w:w="0" w:type="dxa"/>
            <w:right w:w="51" w:type="dxa"/>
          </w:tblCellMar>
        </w:tblPrEx>
        <w:trPr>
          <w:trHeight w:val="1035"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组长</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建设单位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cs="Times New Roman"/>
                <w:snapToGrid w:val="0"/>
                <w:kern w:val="0"/>
                <w:sz w:val="24"/>
                <w:szCs w:val="24"/>
                <w:lang w:val="en-US" w:eastAsia="zh-CN"/>
              </w:rPr>
            </w:pPr>
            <w:r>
              <w:rPr>
                <w:rFonts w:hint="default" w:cs="Times New Roman"/>
                <w:snapToGrid w:val="0"/>
                <w:kern w:val="0"/>
                <w:sz w:val="24"/>
                <w:szCs w:val="24"/>
                <w:lang w:val="en-US" w:eastAsia="zh-CN"/>
              </w:rPr>
              <w:t>付豪</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青岛征洋链传动厂</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cs="Times New Roman"/>
                <w:snapToGrid w:val="0"/>
                <w:kern w:val="0"/>
                <w:sz w:val="24"/>
                <w:szCs w:val="24"/>
                <w:lang w:val="en-US" w:eastAsia="zh-CN"/>
              </w:rPr>
            </w:pPr>
            <w:r>
              <w:rPr>
                <w:rFonts w:hint="eastAsia" w:cs="Times New Roman"/>
                <w:snapToGrid w:val="0"/>
                <w:kern w:val="0"/>
                <w:sz w:val="24"/>
                <w:szCs w:val="24"/>
                <w:lang w:val="en-US" w:eastAsia="zh-CN"/>
              </w:rPr>
              <w:t>总经理</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58" w:hRule="atLeast"/>
          <w:jc w:val="center"/>
        </w:trPr>
        <w:tc>
          <w:tcPr>
            <w:tcW w:w="608" w:type="dxa"/>
            <w:vMerge w:val="restart"/>
            <w:tcBorders>
              <w:top w:val="single" w:color="auto" w:sz="4" w:space="0"/>
              <w:left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成员</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验收报告编制单位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柳林雨</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青岛征洋链传动厂</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cs="Times New Roman"/>
                <w:snapToGrid w:val="0"/>
                <w:kern w:val="0"/>
                <w:sz w:val="24"/>
                <w:szCs w:val="24"/>
                <w:lang w:val="en-US" w:eastAsia="zh-CN"/>
              </w:rPr>
            </w:pPr>
            <w:r>
              <w:rPr>
                <w:rFonts w:hint="eastAsia" w:cs="Times New Roman"/>
                <w:snapToGrid w:val="0"/>
                <w:kern w:val="0"/>
                <w:sz w:val="24"/>
                <w:szCs w:val="24"/>
                <w:lang w:val="en-US" w:eastAsia="zh-CN"/>
              </w:rPr>
              <w:t>车间主任</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40" w:lineRule="atLeast"/>
              <w:jc w:val="center"/>
            </w:pP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监测单位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cs="Times New Roman"/>
                <w:snapToGrid w:val="0"/>
                <w:kern w:val="0"/>
                <w:sz w:val="24"/>
                <w:szCs w:val="24"/>
                <w:lang w:val="en-US" w:eastAsia="zh-CN"/>
              </w:rPr>
            </w:pPr>
            <w:r>
              <w:rPr>
                <w:rFonts w:hint="eastAsia" w:cs="Times New Roman"/>
                <w:snapToGrid w:val="0"/>
                <w:kern w:val="0"/>
                <w:sz w:val="24"/>
                <w:szCs w:val="24"/>
                <w:lang w:val="en-US" w:eastAsia="zh-CN"/>
              </w:rPr>
              <w:t>王成强</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青岛中旭检测检验</w:t>
            </w:r>
          </w:p>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有限公司</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工程师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40" w:lineRule="atLeast"/>
              <w:jc w:val="center"/>
            </w:pPr>
          </w:p>
        </w:tc>
        <w:tc>
          <w:tcPr>
            <w:tcW w:w="1163" w:type="dxa"/>
            <w:vMerge w:val="restart"/>
            <w:tcBorders>
              <w:top w:val="single" w:color="auto" w:sz="4" w:space="0"/>
              <w:left w:val="single" w:color="auto" w:sz="4" w:space="0"/>
              <w:right w:val="single" w:color="auto" w:sz="4" w:space="0"/>
            </w:tcBorders>
            <w:vAlign w:val="center"/>
          </w:tcPr>
          <w:p>
            <w:pPr>
              <w:snapToGrid w:val="0"/>
              <w:spacing w:before="120" w:beforeLines="50" w:line="240" w:lineRule="atLeast"/>
              <w:jc w:val="center"/>
              <w:rPr>
                <w:rFonts w:hint="eastAsia" w:eastAsia="宋体"/>
                <w:snapToGrid w:val="0"/>
                <w:kern w:val="0"/>
                <w:sz w:val="24"/>
                <w:szCs w:val="24"/>
                <w:lang w:val="en-US" w:eastAsia="zh-CN"/>
              </w:rPr>
            </w:pPr>
            <w:r>
              <w:rPr>
                <w:rFonts w:hint="eastAsia"/>
                <w:snapToGrid w:val="0"/>
                <w:kern w:val="0"/>
                <w:sz w:val="24"/>
                <w:szCs w:val="24"/>
                <w:lang w:val="en-US" w:eastAsia="zh-CN"/>
              </w:rPr>
              <w:t>专家</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王</w:t>
            </w:r>
            <w:r>
              <w:rPr>
                <w:rFonts w:hint="eastAsia" w:cs="Times New Roman"/>
                <w:snapToGrid w:val="0"/>
                <w:kern w:val="0"/>
                <w:sz w:val="24"/>
                <w:szCs w:val="24"/>
                <w:lang w:val="en-US" w:eastAsia="zh-CN"/>
              </w:rPr>
              <w:t xml:space="preserve">  犇</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青岛科技大学</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教 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bottom w:val="single" w:color="auto" w:sz="4" w:space="0"/>
              <w:right w:val="single" w:color="auto" w:sz="4" w:space="0"/>
            </w:tcBorders>
            <w:vAlign w:val="center"/>
          </w:tcPr>
          <w:p>
            <w:pPr>
              <w:snapToGrid w:val="0"/>
              <w:spacing w:before="120" w:beforeLines="50" w:line="240" w:lineRule="atLeast"/>
              <w:jc w:val="center"/>
            </w:pPr>
          </w:p>
        </w:tc>
        <w:tc>
          <w:tcPr>
            <w:tcW w:w="1163" w:type="dxa"/>
            <w:vMerge w:val="continue"/>
            <w:tcBorders>
              <w:left w:val="single" w:color="auto" w:sz="4" w:space="0"/>
              <w:bottom w:val="single" w:color="auto" w:sz="4" w:space="0"/>
              <w:right w:val="single" w:color="auto" w:sz="4" w:space="0"/>
            </w:tcBorders>
            <w:vAlign w:val="center"/>
          </w:tcPr>
          <w:p>
            <w:pPr>
              <w:snapToGrid w:val="0"/>
              <w:spacing w:before="120" w:beforeLines="50" w:line="240" w:lineRule="atLeast"/>
              <w:jc w:val="center"/>
              <w:rPr>
                <w:snapToGrid w:val="0"/>
                <w:kern w:val="0"/>
                <w:sz w:val="24"/>
                <w:szCs w:val="24"/>
              </w:rPr>
            </w:pP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谢洪波</w:t>
            </w:r>
          </w:p>
        </w:tc>
        <w:tc>
          <w:tcPr>
            <w:tcW w:w="266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青岛大学</w:t>
            </w:r>
          </w:p>
        </w:tc>
        <w:tc>
          <w:tcPr>
            <w:tcW w:w="11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cs="Times New Roman"/>
                <w:snapToGrid w:val="0"/>
                <w:kern w:val="0"/>
                <w:sz w:val="24"/>
                <w:szCs w:val="24"/>
                <w:lang w:val="en-US" w:eastAsia="zh-CN"/>
              </w:rPr>
            </w:pPr>
            <w:r>
              <w:rPr>
                <w:rFonts w:hint="eastAsia" w:cs="Times New Roman"/>
                <w:snapToGrid w:val="0"/>
                <w:kern w:val="0"/>
                <w:sz w:val="24"/>
                <w:szCs w:val="24"/>
                <w:lang w:val="en-US" w:eastAsia="zh-CN"/>
              </w:rPr>
              <w:t>教 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bl>
    <w:p>
      <w:pPr>
        <w:spacing w:line="276" w:lineRule="auto"/>
        <w:ind w:firstLine="420" w:firstLineChars="200"/>
      </w:pPr>
    </w:p>
    <w:p>
      <w:pPr>
        <w:spacing w:line="276" w:lineRule="auto"/>
        <w:ind w:firstLine="480" w:firstLineChars="200"/>
        <w:jc w:val="right"/>
        <w:rPr>
          <w:sz w:val="24"/>
        </w:rPr>
      </w:pPr>
      <w:r>
        <w:rPr>
          <w:sz w:val="24"/>
        </w:rPr>
        <w:t>202</w:t>
      </w:r>
      <w:r>
        <w:rPr>
          <w:rFonts w:hint="eastAsia"/>
          <w:sz w:val="24"/>
          <w:lang w:val="en-US" w:eastAsia="zh-CN"/>
        </w:rPr>
        <w:t>1</w:t>
      </w:r>
      <w:bookmarkStart w:id="0" w:name="_GoBack"/>
      <w:bookmarkEnd w:id="0"/>
      <w:r>
        <w:rPr>
          <w:sz w:val="24"/>
        </w:rPr>
        <w:t>年</w:t>
      </w:r>
      <w:r>
        <w:rPr>
          <w:rFonts w:hint="eastAsia"/>
          <w:sz w:val="24"/>
          <w:lang w:val="en-US" w:eastAsia="zh-CN"/>
        </w:rPr>
        <w:t>8</w:t>
      </w:r>
      <w:r>
        <w:rPr>
          <w:sz w:val="24"/>
        </w:rPr>
        <w:t>月</w:t>
      </w:r>
      <w:r>
        <w:rPr>
          <w:rFonts w:hint="eastAsia"/>
          <w:sz w:val="24"/>
          <w:lang w:val="en-US" w:eastAsia="zh-CN"/>
        </w:rPr>
        <w:t>3</w:t>
      </w:r>
      <w:r>
        <w:rPr>
          <w:sz w:val="24"/>
        </w:rPr>
        <w:t>日</w:t>
      </w:r>
    </w:p>
    <w:p>
      <w:pPr>
        <w:pStyle w:val="2"/>
        <w:numPr>
          <w:ilvl w:val="0"/>
          <w:numId w:val="0"/>
        </w:numPr>
        <w:spacing w:line="276" w:lineRule="auto"/>
        <w:ind w:firstLine="480" w:firstLineChars="200"/>
        <w:jc w:val="right"/>
        <w:rPr>
          <w:sz w:val="24"/>
        </w:rPr>
      </w:pPr>
    </w:p>
    <w:p>
      <w:pPr>
        <w:pStyle w:val="5"/>
        <w:numPr>
          <w:ilvl w:val="0"/>
          <w:numId w:val="0"/>
        </w:numPr>
        <w:spacing w:line="276" w:lineRule="auto"/>
        <w:ind w:firstLine="480" w:firstLineChars="200"/>
        <w:jc w:val="right"/>
        <w:rPr>
          <w:sz w:val="24"/>
        </w:rPr>
      </w:pPr>
    </w:p>
    <w:sectPr>
      <w:pgSz w:w="11906" w:h="16838"/>
      <w:pgMar w:top="1440" w:right="1797" w:bottom="1440" w:left="1797" w:header="709" w:footer="709"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bullet"/>
      <w:pStyle w:val="8"/>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A97C9E"/>
    <w:rsid w:val="1EDC6721"/>
    <w:rsid w:val="1FDB3234"/>
    <w:rsid w:val="297804BC"/>
    <w:rsid w:val="2A8826AA"/>
    <w:rsid w:val="2EFF7A04"/>
    <w:rsid w:val="3D605F31"/>
    <w:rsid w:val="49001FAF"/>
    <w:rsid w:val="5CE24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99"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4">
    <w:name w:val="Default Paragraph Font"/>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ind w:left="200" w:leftChars="200" w:firstLine="200" w:firstLineChars="200"/>
    </w:pPr>
  </w:style>
  <w:style w:type="paragraph" w:styleId="3">
    <w:name w:val="Body Text Indent"/>
    <w:basedOn w:val="1"/>
    <w:next w:val="4"/>
    <w:qFormat/>
    <w:uiPriority w:val="0"/>
    <w:pPr>
      <w:spacing w:after="120"/>
      <w:ind w:left="420"/>
    </w:pPr>
  </w:style>
  <w:style w:type="paragraph" w:customStyle="1" w:styleId="4">
    <w:name w:val="toc 3_fe2e3fea-3f7f-478d-92c0-f966e09b0d13"/>
    <w:next w:val="1"/>
    <w:qFormat/>
    <w:uiPriority w:val="0"/>
    <w:pPr>
      <w:wordWrap w:val="0"/>
      <w:ind w:left="850"/>
      <w:jc w:val="both"/>
    </w:pPr>
    <w:rPr>
      <w:rFonts w:ascii="Calibri" w:hAnsi="Calibri" w:eastAsia="宋体" w:cs="Times New Roman"/>
      <w:sz w:val="21"/>
      <w:szCs w:val="22"/>
      <w:lang w:val="en-US" w:eastAsia="zh-CN" w:bidi="ar-SA"/>
    </w:rPr>
  </w:style>
  <w:style w:type="paragraph" w:customStyle="1" w:styleId="5">
    <w:name w:val="Default"/>
    <w:next w:val="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annotation text"/>
    <w:basedOn w:val="1"/>
    <w:link w:val="21"/>
    <w:qFormat/>
    <w:uiPriority w:val="0"/>
    <w:pPr>
      <w:jc w:val="left"/>
    </w:pPr>
  </w:style>
  <w:style w:type="paragraph" w:styleId="7">
    <w:name w:val="Body Text"/>
    <w:basedOn w:val="1"/>
    <w:next w:val="1"/>
    <w:link w:val="19"/>
    <w:qFormat/>
    <w:uiPriority w:val="99"/>
    <w:pPr>
      <w:spacing w:after="120"/>
    </w:pPr>
  </w:style>
  <w:style w:type="paragraph" w:styleId="8">
    <w:name w:val="List Bullet 5"/>
    <w:basedOn w:val="1"/>
    <w:qFormat/>
    <w:uiPriority w:val="99"/>
    <w:pPr>
      <w:numPr>
        <w:ilvl w:val="0"/>
        <w:numId w:val="1"/>
      </w:numPr>
    </w:pPr>
  </w:style>
  <w:style w:type="paragraph" w:styleId="9">
    <w:name w:val="Balloon Text"/>
    <w:basedOn w:val="1"/>
    <w:link w:val="22"/>
    <w:qFormat/>
    <w:uiPriority w:val="99"/>
    <w:rPr>
      <w:sz w:val="18"/>
      <w:szCs w:val="18"/>
    </w:rPr>
  </w:style>
  <w:style w:type="paragraph" w:styleId="10">
    <w:name w:val="footer"/>
    <w:basedOn w:val="1"/>
    <w:link w:val="17"/>
    <w:qFormat/>
    <w:uiPriority w:val="99"/>
    <w:pPr>
      <w:tabs>
        <w:tab w:val="center" w:pos="4153"/>
        <w:tab w:val="right" w:pos="8306"/>
      </w:tabs>
      <w:snapToGrid w:val="0"/>
      <w:jc w:val="left"/>
    </w:pPr>
    <w:rPr>
      <w:rFonts w:ascii="Calibri" w:hAnsi="Calibri" w:cs="宋体"/>
      <w:sz w:val="18"/>
      <w:szCs w:val="18"/>
    </w:rPr>
  </w:style>
  <w:style w:type="paragraph" w:styleId="11">
    <w:name w:val="header"/>
    <w:basedOn w:val="1"/>
    <w:link w:val="16"/>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12">
    <w:name w:val="Body Text First Indent"/>
    <w:basedOn w:val="7"/>
    <w:next w:val="1"/>
    <w:link w:val="20"/>
    <w:qFormat/>
    <w:uiPriority w:val="99"/>
    <w:pPr>
      <w:ind w:firstLine="420" w:firstLineChars="100"/>
    </w:pPr>
    <w:rPr>
      <w:szCs w:val="21"/>
    </w:rPr>
  </w:style>
  <w:style w:type="character" w:styleId="15">
    <w:name w:val="annotation reference"/>
    <w:qFormat/>
    <w:uiPriority w:val="99"/>
    <w:rPr>
      <w:sz w:val="21"/>
      <w:szCs w:val="21"/>
    </w:rPr>
  </w:style>
  <w:style w:type="character" w:customStyle="1" w:styleId="16">
    <w:name w:val="页眉 Char"/>
    <w:basedOn w:val="14"/>
    <w:link w:val="11"/>
    <w:qFormat/>
    <w:uiPriority w:val="99"/>
    <w:rPr>
      <w:sz w:val="18"/>
      <w:szCs w:val="18"/>
    </w:rPr>
  </w:style>
  <w:style w:type="character" w:customStyle="1" w:styleId="17">
    <w:name w:val="页脚 Char"/>
    <w:basedOn w:val="14"/>
    <w:link w:val="10"/>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正文文本 Char"/>
    <w:basedOn w:val="14"/>
    <w:link w:val="7"/>
    <w:qFormat/>
    <w:uiPriority w:val="99"/>
    <w:rPr>
      <w:rFonts w:ascii="Times New Roman" w:hAnsi="Times New Roman" w:eastAsia="宋体" w:cs="Times New Roman"/>
      <w:szCs w:val="20"/>
    </w:rPr>
  </w:style>
  <w:style w:type="character" w:customStyle="1" w:styleId="20">
    <w:name w:val="正文首行缩进 Char"/>
    <w:basedOn w:val="19"/>
    <w:link w:val="12"/>
    <w:qFormat/>
    <w:uiPriority w:val="99"/>
    <w:rPr>
      <w:rFonts w:ascii="Times New Roman" w:hAnsi="Times New Roman" w:eastAsia="宋体" w:cs="Times New Roman"/>
      <w:szCs w:val="21"/>
    </w:rPr>
  </w:style>
  <w:style w:type="character" w:customStyle="1" w:styleId="21">
    <w:name w:val="批注文字 Char"/>
    <w:basedOn w:val="14"/>
    <w:link w:val="6"/>
    <w:qFormat/>
    <w:uiPriority w:val="0"/>
    <w:rPr>
      <w:rFonts w:ascii="Times New Roman" w:hAnsi="Times New Roman" w:eastAsia="宋体" w:cs="Times New Roman"/>
      <w:szCs w:val="20"/>
    </w:rPr>
  </w:style>
  <w:style w:type="character" w:customStyle="1" w:styleId="22">
    <w:name w:val="批注框文本 Char"/>
    <w:basedOn w:val="14"/>
    <w:link w:val="9"/>
    <w:qFormat/>
    <w:uiPriority w:val="99"/>
    <w:rPr>
      <w:rFonts w:ascii="Times New Roman" w:hAnsi="Times New Roman" w:eastAsia="宋体" w:cs="Times New Roman"/>
      <w:sz w:val="18"/>
      <w:szCs w:val="18"/>
    </w:rPr>
  </w:style>
  <w:style w:type="paragraph" w:customStyle="1" w:styleId="23">
    <w:name w:val="文字描述"/>
    <w:basedOn w:val="1"/>
    <w:qFormat/>
    <w:uiPriority w:val="0"/>
    <w:pPr>
      <w:adjustRightInd w:val="0"/>
      <w:snapToGrid w:val="0"/>
      <w:spacing w:line="360" w:lineRule="auto"/>
      <w:ind w:firstLine="200" w:firstLineChars="200"/>
    </w:pPr>
    <w:rPr>
      <w:rFonts w:eastAsia="仿宋_GB2312"/>
      <w:spacing w:val="-2"/>
      <w:sz w:val="28"/>
      <w:szCs w:val="24"/>
    </w:rPr>
  </w:style>
  <w:style w:type="paragraph" w:customStyle="1" w:styleId="24">
    <w:name w:val="表、图标题"/>
    <w:qFormat/>
    <w:uiPriority w:val="0"/>
    <w:pPr>
      <w:widowControl w:val="0"/>
      <w:adjustRightInd w:val="0"/>
      <w:snapToGrid w:val="0"/>
      <w:jc w:val="center"/>
    </w:pPr>
    <w:rPr>
      <w:rFonts w:ascii="Times New Roman" w:hAnsi="Times New Roman" w:eastAsia="仿宋_GB2312" w:cs="Times New Roman"/>
      <w:b/>
      <w:bCs/>
      <w:kern w:val="0"/>
      <w:sz w:val="24"/>
      <w:szCs w:val="18"/>
      <w:lang w:val="en-US" w:eastAsia="zh-CN" w:bidi="ar-SA"/>
    </w:rPr>
  </w:style>
  <w:style w:type="paragraph" w:customStyle="1" w:styleId="25">
    <w:name w:val="表格"/>
    <w:qFormat/>
    <w:uiPriority w:val="0"/>
    <w:pPr>
      <w:widowControl w:val="0"/>
      <w:snapToGrid w:val="0"/>
      <w:jc w:val="center"/>
    </w:pPr>
    <w:rPr>
      <w:rFonts w:ascii="Times New Roman" w:hAnsi="Times New Roman" w:eastAsia="仿宋_GB2312"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1906</Words>
  <Characters>2059</Characters>
  <Paragraphs>100</Paragraphs>
  <TotalTime>9</TotalTime>
  <ScaleCrop>false</ScaleCrop>
  <LinksUpToDate>false</LinksUpToDate>
  <CharactersWithSpaces>2075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2021-08-03T08:30:00Z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A7B166EAED3F4EE2BE25093AA6185A6D</vt:lpwstr>
  </property>
</Properties>
</file>